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7C791" w14:textId="237812C4" w:rsidR="00AC102C" w:rsidRPr="00B91B7E" w:rsidRDefault="00AC102C" w:rsidP="00AC102C">
      <w:pPr>
        <w:tabs>
          <w:tab w:val="center" w:pos="4536"/>
          <w:tab w:val="right" w:pos="8280"/>
          <w:tab w:val="right" w:pos="9639"/>
        </w:tabs>
        <w:overflowPunct/>
        <w:autoSpaceDE/>
        <w:autoSpaceDN/>
        <w:adjustRightInd/>
        <w:spacing w:after="0"/>
        <w:ind w:right="2"/>
        <w:textAlignment w:val="auto"/>
        <w:rPr>
          <w:rFonts w:eastAsia="Batang"/>
          <w:b/>
          <w:bCs/>
          <w:sz w:val="28"/>
          <w:szCs w:val="24"/>
        </w:rPr>
      </w:pPr>
      <w:r w:rsidRPr="00B91B7E">
        <w:rPr>
          <w:rFonts w:eastAsia="Batang"/>
          <w:b/>
          <w:bCs/>
          <w:sz w:val="28"/>
          <w:szCs w:val="24"/>
        </w:rPr>
        <w:t>3GPP TSG RAN WG1 #10</w:t>
      </w:r>
      <w:r w:rsidR="00525932" w:rsidRPr="00B91B7E">
        <w:rPr>
          <w:rFonts w:eastAsia="Batang"/>
          <w:b/>
          <w:bCs/>
          <w:sz w:val="28"/>
          <w:szCs w:val="24"/>
        </w:rPr>
        <w:t>4</w:t>
      </w:r>
      <w:r w:rsidRPr="00B91B7E">
        <w:rPr>
          <w:rFonts w:eastAsia="Batang"/>
          <w:b/>
          <w:bCs/>
          <w:sz w:val="28"/>
          <w:szCs w:val="24"/>
        </w:rPr>
        <w:t>-e</w:t>
      </w:r>
      <w:r w:rsidRPr="00B91B7E">
        <w:rPr>
          <w:rFonts w:eastAsia="Batang"/>
          <w:b/>
          <w:bCs/>
          <w:sz w:val="28"/>
          <w:szCs w:val="24"/>
        </w:rPr>
        <w:tab/>
      </w:r>
      <w:r w:rsidRPr="00B91B7E">
        <w:rPr>
          <w:rFonts w:eastAsia="Batang"/>
          <w:b/>
          <w:bCs/>
          <w:sz w:val="28"/>
          <w:szCs w:val="24"/>
        </w:rPr>
        <w:tab/>
      </w:r>
      <w:r w:rsidR="001B269C" w:rsidRPr="00B91B7E">
        <w:rPr>
          <w:rFonts w:eastAsia="Batang"/>
          <w:b/>
          <w:bCs/>
          <w:sz w:val="28"/>
          <w:szCs w:val="24"/>
        </w:rPr>
        <w:t xml:space="preserve">   </w:t>
      </w:r>
      <w:r w:rsidRPr="00B91B7E">
        <w:rPr>
          <w:rFonts w:eastAsia="Batang"/>
          <w:b/>
          <w:bCs/>
          <w:sz w:val="28"/>
          <w:szCs w:val="24"/>
        </w:rPr>
        <w:tab/>
        <w:t>R1-</w:t>
      </w:r>
      <w:r w:rsidR="004B58CA" w:rsidRPr="00B91B7E">
        <w:rPr>
          <w:rFonts w:eastAsia="Batang"/>
          <w:b/>
          <w:bCs/>
          <w:sz w:val="28"/>
          <w:szCs w:val="24"/>
        </w:rPr>
        <w:t>2</w:t>
      </w:r>
      <w:r w:rsidR="00525932" w:rsidRPr="00B91B7E">
        <w:rPr>
          <w:rFonts w:eastAsia="Batang"/>
          <w:b/>
          <w:bCs/>
          <w:sz w:val="28"/>
          <w:szCs w:val="24"/>
        </w:rPr>
        <w:t>100063</w:t>
      </w:r>
    </w:p>
    <w:p w14:paraId="249FC8BD" w14:textId="3E44EDCB" w:rsidR="00AC102C" w:rsidRPr="00B91B7E" w:rsidRDefault="00AC102C" w:rsidP="00AC102C">
      <w:pPr>
        <w:tabs>
          <w:tab w:val="center" w:pos="4536"/>
          <w:tab w:val="right" w:pos="9072"/>
        </w:tabs>
        <w:overflowPunct/>
        <w:autoSpaceDE/>
        <w:autoSpaceDN/>
        <w:adjustRightInd/>
        <w:spacing w:after="0"/>
        <w:textAlignment w:val="auto"/>
        <w:rPr>
          <w:rFonts w:eastAsia="MS Mincho"/>
          <w:b/>
          <w:bCs/>
          <w:sz w:val="28"/>
          <w:szCs w:val="24"/>
          <w:lang w:eastAsia="ja-JP"/>
        </w:rPr>
      </w:pPr>
      <w:r w:rsidRPr="00B91B7E">
        <w:rPr>
          <w:rFonts w:eastAsia="MS Mincho"/>
          <w:b/>
          <w:bCs/>
          <w:sz w:val="28"/>
          <w:szCs w:val="24"/>
          <w:lang w:eastAsia="ja-JP"/>
        </w:rPr>
        <w:t xml:space="preserve">e-Meeting, </w:t>
      </w:r>
      <w:r w:rsidR="00525932" w:rsidRPr="00B91B7E">
        <w:rPr>
          <w:rFonts w:eastAsia="MS Mincho"/>
          <w:b/>
          <w:bCs/>
          <w:sz w:val="28"/>
          <w:szCs w:val="24"/>
          <w:lang w:eastAsia="ja-JP"/>
        </w:rPr>
        <w:t>January</w:t>
      </w:r>
      <w:r w:rsidRPr="00B91B7E">
        <w:rPr>
          <w:rFonts w:eastAsia="MS Mincho"/>
          <w:b/>
          <w:bCs/>
          <w:sz w:val="28"/>
          <w:szCs w:val="24"/>
          <w:lang w:eastAsia="ja-JP"/>
        </w:rPr>
        <w:t xml:space="preserve"> </w:t>
      </w:r>
      <w:r w:rsidR="00525932" w:rsidRPr="00B91B7E">
        <w:rPr>
          <w:rFonts w:eastAsia="MS Mincho"/>
          <w:b/>
          <w:bCs/>
          <w:sz w:val="28"/>
          <w:szCs w:val="24"/>
          <w:lang w:eastAsia="ja-JP"/>
        </w:rPr>
        <w:t>25</w:t>
      </w:r>
      <w:r w:rsidRPr="00B91B7E">
        <w:rPr>
          <w:rFonts w:eastAsia="MS Mincho"/>
          <w:b/>
          <w:bCs/>
          <w:sz w:val="28"/>
          <w:szCs w:val="24"/>
          <w:vertAlign w:val="superscript"/>
          <w:lang w:eastAsia="ja-JP"/>
        </w:rPr>
        <w:t>th</w:t>
      </w:r>
      <w:r w:rsidRPr="00B91B7E">
        <w:rPr>
          <w:rFonts w:eastAsia="MS Mincho"/>
          <w:b/>
          <w:bCs/>
          <w:sz w:val="28"/>
          <w:szCs w:val="24"/>
          <w:lang w:eastAsia="ja-JP"/>
        </w:rPr>
        <w:t xml:space="preserve"> – </w:t>
      </w:r>
      <w:r w:rsidR="00525932" w:rsidRPr="00B91B7E">
        <w:rPr>
          <w:rFonts w:eastAsia="MS Mincho"/>
          <w:b/>
          <w:bCs/>
          <w:sz w:val="28"/>
          <w:szCs w:val="24"/>
          <w:lang w:eastAsia="ja-JP"/>
        </w:rPr>
        <w:t>February 5</w:t>
      </w:r>
      <w:r w:rsidRPr="00B91B7E">
        <w:rPr>
          <w:rFonts w:eastAsia="MS Mincho"/>
          <w:b/>
          <w:bCs/>
          <w:sz w:val="28"/>
          <w:szCs w:val="24"/>
          <w:vertAlign w:val="superscript"/>
          <w:lang w:eastAsia="ja-JP"/>
        </w:rPr>
        <w:t>th</w:t>
      </w:r>
      <w:r w:rsidRPr="00B91B7E">
        <w:rPr>
          <w:rFonts w:eastAsia="MS Mincho"/>
          <w:b/>
          <w:bCs/>
          <w:sz w:val="28"/>
          <w:szCs w:val="24"/>
          <w:lang w:eastAsia="ja-JP"/>
        </w:rPr>
        <w:t>, 202</w:t>
      </w:r>
      <w:r w:rsidR="00525932" w:rsidRPr="00B91B7E">
        <w:rPr>
          <w:rFonts w:eastAsia="MS Mincho"/>
          <w:b/>
          <w:bCs/>
          <w:sz w:val="28"/>
          <w:szCs w:val="24"/>
          <w:lang w:eastAsia="ja-JP"/>
        </w:rPr>
        <w:t>1</w:t>
      </w:r>
    </w:p>
    <w:p w14:paraId="05965FD4" w14:textId="77777777" w:rsidR="00C4142E" w:rsidRPr="00B91B7E" w:rsidRDefault="00C4142E" w:rsidP="00E913CF">
      <w:pPr>
        <w:pStyle w:val="NoSpacing"/>
        <w:jc w:val="both"/>
        <w:rPr>
          <w:rFonts w:eastAsiaTheme="minorEastAsia"/>
          <w:b/>
          <w:sz w:val="24"/>
          <w:szCs w:val="24"/>
          <w:lang w:val="en-GB" w:eastAsia="zh-CN"/>
        </w:rPr>
      </w:pPr>
    </w:p>
    <w:p w14:paraId="2BD8256E" w14:textId="174B1799" w:rsidR="005E1775" w:rsidRPr="00B91B7E" w:rsidRDefault="005E1775" w:rsidP="00E913CF">
      <w:pPr>
        <w:pStyle w:val="NoSpacing"/>
        <w:jc w:val="both"/>
        <w:rPr>
          <w:rFonts w:eastAsiaTheme="minorEastAsia"/>
          <w:b/>
          <w:sz w:val="24"/>
          <w:szCs w:val="24"/>
          <w:lang w:eastAsia="zh-CN"/>
        </w:rPr>
      </w:pPr>
      <w:r w:rsidRPr="00B91B7E">
        <w:rPr>
          <w:b/>
          <w:sz w:val="24"/>
          <w:szCs w:val="24"/>
        </w:rPr>
        <w:t>Agenda Item:</w:t>
      </w:r>
      <w:r w:rsidRPr="00B91B7E">
        <w:rPr>
          <w:b/>
          <w:sz w:val="24"/>
          <w:szCs w:val="24"/>
        </w:rPr>
        <w:tab/>
      </w:r>
      <w:r w:rsidRPr="00B91B7E">
        <w:rPr>
          <w:b/>
          <w:sz w:val="24"/>
          <w:szCs w:val="24"/>
        </w:rPr>
        <w:tab/>
      </w:r>
      <w:r w:rsidR="00F93346" w:rsidRPr="00B91B7E">
        <w:rPr>
          <w:b/>
          <w:sz w:val="24"/>
          <w:szCs w:val="24"/>
        </w:rPr>
        <w:t>8</w:t>
      </w:r>
      <w:r w:rsidRPr="00B91B7E">
        <w:rPr>
          <w:rFonts w:eastAsia="SimSun"/>
          <w:b/>
          <w:sz w:val="24"/>
          <w:szCs w:val="24"/>
          <w:lang w:eastAsia="zh-CN"/>
        </w:rPr>
        <w:t>.</w:t>
      </w:r>
      <w:r w:rsidR="00F93346" w:rsidRPr="00B91B7E">
        <w:rPr>
          <w:rFonts w:eastAsia="SimSun"/>
          <w:b/>
          <w:sz w:val="24"/>
          <w:szCs w:val="24"/>
          <w:lang w:eastAsia="zh-CN"/>
        </w:rPr>
        <w:t>1</w:t>
      </w:r>
      <w:r w:rsidRPr="00B91B7E">
        <w:rPr>
          <w:rFonts w:eastAsia="SimSun"/>
          <w:b/>
          <w:sz w:val="24"/>
          <w:szCs w:val="24"/>
          <w:lang w:eastAsia="zh-CN"/>
        </w:rPr>
        <w:t>.</w:t>
      </w:r>
      <w:r w:rsidR="00F93346" w:rsidRPr="00B91B7E">
        <w:rPr>
          <w:rFonts w:eastAsia="SimSun"/>
          <w:b/>
          <w:sz w:val="24"/>
          <w:szCs w:val="24"/>
          <w:lang w:eastAsia="zh-CN"/>
        </w:rPr>
        <w:t>1</w:t>
      </w:r>
    </w:p>
    <w:p w14:paraId="74E70920" w14:textId="5004FC58" w:rsidR="00C4142E" w:rsidRPr="00B91B7E" w:rsidRDefault="00C4142E" w:rsidP="00E913CF">
      <w:pPr>
        <w:pStyle w:val="NoSpacing"/>
        <w:jc w:val="both"/>
        <w:rPr>
          <w:rFonts w:eastAsia="SimSun"/>
          <w:b/>
          <w:sz w:val="24"/>
          <w:szCs w:val="24"/>
        </w:rPr>
      </w:pPr>
      <w:r w:rsidRPr="00B91B7E">
        <w:rPr>
          <w:b/>
          <w:sz w:val="24"/>
          <w:szCs w:val="24"/>
        </w:rPr>
        <w:t>Source:</w:t>
      </w:r>
      <w:r w:rsidRPr="00B91B7E">
        <w:rPr>
          <w:b/>
          <w:sz w:val="24"/>
          <w:szCs w:val="24"/>
        </w:rPr>
        <w:tab/>
      </w:r>
      <w:r w:rsidRPr="00B91B7E">
        <w:rPr>
          <w:b/>
          <w:sz w:val="24"/>
          <w:szCs w:val="24"/>
        </w:rPr>
        <w:tab/>
      </w:r>
      <w:r w:rsidR="005E1775" w:rsidRPr="00B91B7E">
        <w:rPr>
          <w:b/>
          <w:sz w:val="24"/>
          <w:szCs w:val="24"/>
        </w:rPr>
        <w:tab/>
      </w:r>
      <w:r w:rsidR="005E1775" w:rsidRPr="00B91B7E">
        <w:rPr>
          <w:b/>
          <w:sz w:val="24"/>
          <w:szCs w:val="24"/>
        </w:rPr>
        <w:tab/>
      </w:r>
      <w:proofErr w:type="spellStart"/>
      <w:r w:rsidRPr="00B91B7E">
        <w:rPr>
          <w:b/>
          <w:sz w:val="24"/>
          <w:szCs w:val="24"/>
        </w:rPr>
        <w:t>Inter</w:t>
      </w:r>
      <w:r w:rsidR="00A677A0" w:rsidRPr="00B91B7E">
        <w:rPr>
          <w:b/>
          <w:sz w:val="24"/>
          <w:szCs w:val="24"/>
        </w:rPr>
        <w:t>D</w:t>
      </w:r>
      <w:r w:rsidRPr="00B91B7E">
        <w:rPr>
          <w:b/>
          <w:sz w:val="24"/>
          <w:szCs w:val="24"/>
        </w:rPr>
        <w:t>igital</w:t>
      </w:r>
      <w:proofErr w:type="spellEnd"/>
      <w:r w:rsidR="004B58CA" w:rsidRPr="00B91B7E">
        <w:rPr>
          <w:b/>
          <w:sz w:val="24"/>
          <w:szCs w:val="24"/>
        </w:rPr>
        <w:t>,</w:t>
      </w:r>
      <w:r w:rsidR="005E1775" w:rsidRPr="00B91B7E">
        <w:rPr>
          <w:b/>
          <w:sz w:val="24"/>
          <w:szCs w:val="24"/>
        </w:rPr>
        <w:t xml:space="preserve"> Inc.</w:t>
      </w:r>
    </w:p>
    <w:p w14:paraId="5E560AE8" w14:textId="7642197E" w:rsidR="00C4142E" w:rsidRPr="00B91B7E" w:rsidRDefault="00C4142E" w:rsidP="00E913CF">
      <w:pPr>
        <w:pStyle w:val="NoSpacing"/>
        <w:jc w:val="both"/>
        <w:rPr>
          <w:rFonts w:eastAsiaTheme="minorEastAsia"/>
          <w:b/>
          <w:sz w:val="24"/>
          <w:szCs w:val="24"/>
        </w:rPr>
      </w:pPr>
      <w:r w:rsidRPr="00B91B7E">
        <w:rPr>
          <w:b/>
          <w:sz w:val="24"/>
          <w:szCs w:val="24"/>
        </w:rPr>
        <w:t>Title:</w:t>
      </w:r>
      <w:bookmarkStart w:id="0" w:name="Title"/>
      <w:bookmarkEnd w:id="0"/>
      <w:r w:rsidRPr="00B91B7E">
        <w:rPr>
          <w:b/>
          <w:sz w:val="24"/>
          <w:szCs w:val="24"/>
        </w:rPr>
        <w:tab/>
      </w:r>
      <w:r w:rsidRPr="00B91B7E">
        <w:rPr>
          <w:b/>
          <w:sz w:val="24"/>
          <w:szCs w:val="24"/>
        </w:rPr>
        <w:tab/>
      </w:r>
      <w:r w:rsidRPr="00B91B7E">
        <w:rPr>
          <w:b/>
          <w:sz w:val="24"/>
          <w:szCs w:val="24"/>
        </w:rPr>
        <w:tab/>
      </w:r>
      <w:r w:rsidR="005E1775" w:rsidRPr="00B91B7E">
        <w:rPr>
          <w:b/>
          <w:sz w:val="24"/>
          <w:szCs w:val="24"/>
        </w:rPr>
        <w:tab/>
      </w:r>
      <w:r w:rsidR="005E1775" w:rsidRPr="00B91B7E">
        <w:rPr>
          <w:b/>
          <w:sz w:val="24"/>
          <w:szCs w:val="24"/>
        </w:rPr>
        <w:tab/>
      </w:r>
      <w:r w:rsidR="004B58CA" w:rsidRPr="00B91B7E">
        <w:rPr>
          <w:rFonts w:eastAsiaTheme="minorEastAsia"/>
          <w:b/>
          <w:sz w:val="24"/>
          <w:szCs w:val="24"/>
          <w:lang w:eastAsia="zh-CN"/>
        </w:rPr>
        <w:t xml:space="preserve">Discussions on </w:t>
      </w:r>
      <w:r w:rsidR="00525932" w:rsidRPr="00B91B7E">
        <w:rPr>
          <w:rFonts w:eastAsiaTheme="minorEastAsia"/>
          <w:b/>
          <w:sz w:val="24"/>
          <w:szCs w:val="24"/>
          <w:lang w:eastAsia="zh-CN"/>
        </w:rPr>
        <w:t>Rel-17 beam management</w:t>
      </w:r>
    </w:p>
    <w:p w14:paraId="35306FB9" w14:textId="60D8F6E7" w:rsidR="00C4142E" w:rsidRPr="00B91B7E" w:rsidRDefault="00C4142E" w:rsidP="00E913CF">
      <w:pPr>
        <w:pStyle w:val="NoSpacing"/>
        <w:jc w:val="both"/>
        <w:rPr>
          <w:rFonts w:eastAsia="SimSun"/>
          <w:b/>
          <w:sz w:val="24"/>
          <w:szCs w:val="24"/>
        </w:rPr>
      </w:pPr>
      <w:r w:rsidRPr="00B91B7E">
        <w:rPr>
          <w:b/>
          <w:sz w:val="24"/>
          <w:szCs w:val="24"/>
        </w:rPr>
        <w:t>Document for:</w:t>
      </w:r>
      <w:r w:rsidRPr="00B91B7E">
        <w:rPr>
          <w:b/>
          <w:sz w:val="24"/>
          <w:szCs w:val="24"/>
        </w:rPr>
        <w:tab/>
      </w:r>
      <w:bookmarkStart w:id="1" w:name="DocumentFor"/>
      <w:bookmarkEnd w:id="1"/>
      <w:r w:rsidRPr="00B91B7E">
        <w:rPr>
          <w:b/>
          <w:sz w:val="24"/>
          <w:szCs w:val="24"/>
        </w:rPr>
        <w:t>Discussio</w:t>
      </w:r>
      <w:r w:rsidRPr="00B91B7E">
        <w:rPr>
          <w:rFonts w:eastAsia="SimSun"/>
          <w:b/>
          <w:sz w:val="24"/>
          <w:szCs w:val="24"/>
        </w:rPr>
        <w:t>n and Decision</w:t>
      </w:r>
    </w:p>
    <w:p w14:paraId="0162CE0A" w14:textId="77777777" w:rsidR="00C4142E" w:rsidRPr="00B91B7E" w:rsidRDefault="00C4142E" w:rsidP="00E913CF">
      <w:pPr>
        <w:pStyle w:val="NoSpacing"/>
        <w:jc w:val="both"/>
      </w:pPr>
    </w:p>
    <w:p w14:paraId="1E3AE1A1" w14:textId="0618FE5D" w:rsidR="00C4142E" w:rsidRPr="00B91B7E" w:rsidRDefault="00C4142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Introduction</w:t>
      </w:r>
    </w:p>
    <w:p w14:paraId="0833213F" w14:textId="09028C14" w:rsidR="008975FD" w:rsidRPr="00B91B7E" w:rsidRDefault="003C4423" w:rsidP="00790A31">
      <w:pPr>
        <w:pStyle w:val="BodyText"/>
        <w:spacing w:after="0"/>
        <w:ind w:firstLine="288"/>
        <w:rPr>
          <w:rFonts w:ascii="Times New Roman" w:eastAsiaTheme="minorEastAsia" w:hAnsi="Times New Roman"/>
          <w:sz w:val="22"/>
          <w:szCs w:val="22"/>
          <w:lang w:eastAsia="zh-CN"/>
        </w:rPr>
      </w:pPr>
      <w:r w:rsidRPr="00B91B7E">
        <w:rPr>
          <w:rFonts w:ascii="Times New Roman" w:eastAsiaTheme="minorEastAsia" w:hAnsi="Times New Roman"/>
          <w:sz w:val="22"/>
          <w:szCs w:val="22"/>
          <w:lang w:eastAsia="zh-CN"/>
        </w:rPr>
        <w:t xml:space="preserve">In </w:t>
      </w:r>
      <w:r w:rsidR="00D5797A" w:rsidRPr="00B91B7E">
        <w:rPr>
          <w:rFonts w:ascii="Times New Roman" w:eastAsiaTheme="minorEastAsia" w:hAnsi="Times New Roman"/>
          <w:sz w:val="22"/>
          <w:szCs w:val="22"/>
          <w:lang w:eastAsia="zh-CN"/>
        </w:rPr>
        <w:t>RAN</w:t>
      </w:r>
      <w:r w:rsidR="004B58CA" w:rsidRPr="00B91B7E">
        <w:rPr>
          <w:rFonts w:ascii="Times New Roman" w:eastAsiaTheme="minorEastAsia" w:hAnsi="Times New Roman"/>
          <w:sz w:val="22"/>
          <w:szCs w:val="22"/>
          <w:lang w:eastAsia="zh-CN"/>
        </w:rPr>
        <w:t>1</w:t>
      </w:r>
      <w:r w:rsidR="00D5797A" w:rsidRPr="00B91B7E">
        <w:rPr>
          <w:rFonts w:ascii="Times New Roman" w:eastAsiaTheme="minorEastAsia" w:hAnsi="Times New Roman"/>
          <w:sz w:val="22"/>
          <w:szCs w:val="22"/>
          <w:lang w:eastAsia="zh-CN"/>
        </w:rPr>
        <w:t>#</w:t>
      </w:r>
      <w:r w:rsidR="004B58CA" w:rsidRPr="00B91B7E">
        <w:rPr>
          <w:rFonts w:ascii="Times New Roman" w:eastAsiaTheme="minorEastAsia" w:hAnsi="Times New Roman"/>
          <w:sz w:val="22"/>
          <w:szCs w:val="22"/>
          <w:lang w:eastAsia="zh-CN"/>
        </w:rPr>
        <w:t>10</w:t>
      </w:r>
      <w:r w:rsidR="009A046E" w:rsidRPr="00B91B7E">
        <w:rPr>
          <w:rFonts w:ascii="Times New Roman" w:eastAsiaTheme="minorEastAsia" w:hAnsi="Times New Roman"/>
          <w:sz w:val="22"/>
          <w:szCs w:val="22"/>
          <w:lang w:eastAsia="zh-CN"/>
        </w:rPr>
        <w:t>3</w:t>
      </w:r>
      <w:r w:rsidR="004B58CA" w:rsidRPr="00B91B7E">
        <w:rPr>
          <w:rFonts w:ascii="Times New Roman" w:eastAsiaTheme="minorEastAsia" w:hAnsi="Times New Roman"/>
          <w:sz w:val="22"/>
          <w:szCs w:val="22"/>
          <w:lang w:eastAsia="zh-CN"/>
        </w:rPr>
        <w:t>-e [1]</w:t>
      </w:r>
      <w:r w:rsidRPr="00B91B7E">
        <w:rPr>
          <w:rFonts w:ascii="Times New Roman" w:eastAsiaTheme="minorEastAsia" w:hAnsi="Times New Roman"/>
          <w:sz w:val="22"/>
          <w:szCs w:val="22"/>
          <w:lang w:eastAsia="zh-CN"/>
        </w:rPr>
        <w:t>,</w:t>
      </w:r>
      <w:r w:rsidR="004B58CA" w:rsidRPr="00B91B7E">
        <w:rPr>
          <w:rFonts w:ascii="Times New Roman" w:eastAsiaTheme="minorEastAsia" w:hAnsi="Times New Roman"/>
          <w:sz w:val="22"/>
          <w:szCs w:val="22"/>
          <w:lang w:eastAsia="zh-CN"/>
        </w:rPr>
        <w:t xml:space="preserve"> agreements on </w:t>
      </w:r>
      <w:r w:rsidR="001557BF">
        <w:rPr>
          <w:rFonts w:ascii="Times New Roman" w:eastAsiaTheme="minorEastAsia" w:hAnsi="Times New Roman"/>
          <w:sz w:val="22"/>
          <w:szCs w:val="22"/>
          <w:lang w:eastAsia="zh-CN"/>
        </w:rPr>
        <w:t xml:space="preserve">L1-based beam indication by using existing DCI formats 1_1/1_2, </w:t>
      </w:r>
      <w:r w:rsidR="00F61ACB">
        <w:rPr>
          <w:rFonts w:ascii="Times New Roman" w:eastAsiaTheme="minorEastAsia" w:hAnsi="Times New Roman"/>
          <w:sz w:val="22"/>
          <w:szCs w:val="22"/>
          <w:lang w:eastAsia="zh-CN"/>
        </w:rPr>
        <w:t xml:space="preserve">how to define/apply </w:t>
      </w:r>
      <w:r w:rsidR="00B12B35">
        <w:rPr>
          <w:rFonts w:ascii="Times New Roman" w:eastAsiaTheme="minorEastAsia" w:hAnsi="Times New Roman"/>
          <w:sz w:val="22"/>
          <w:szCs w:val="22"/>
          <w:lang w:eastAsia="zh-CN"/>
        </w:rPr>
        <w:t>beam application time, use cases and enhancement scopes for L1/L2-centric inter-cell mobility, UE-initiated panel selection/activation for MP-UE</w:t>
      </w:r>
      <w:r w:rsidR="001617FB">
        <w:rPr>
          <w:rFonts w:ascii="Times New Roman" w:eastAsiaTheme="minorEastAsia" w:hAnsi="Times New Roman"/>
          <w:sz w:val="22"/>
          <w:szCs w:val="22"/>
          <w:lang w:eastAsia="zh-CN"/>
        </w:rPr>
        <w:t xml:space="preserve"> and UE reporting on MPE</w:t>
      </w:r>
      <w:r w:rsidR="00B12B35">
        <w:rPr>
          <w:rFonts w:ascii="Times New Roman" w:eastAsiaTheme="minorEastAsia" w:hAnsi="Times New Roman"/>
          <w:sz w:val="22"/>
          <w:szCs w:val="22"/>
          <w:lang w:eastAsia="zh-CN"/>
        </w:rPr>
        <w:t xml:space="preserve"> </w:t>
      </w:r>
      <w:r w:rsidR="00790A31" w:rsidRPr="00B91B7E">
        <w:rPr>
          <w:rFonts w:ascii="Times New Roman" w:eastAsiaTheme="minorEastAsia" w:hAnsi="Times New Roman"/>
          <w:sz w:val="22"/>
          <w:szCs w:val="22"/>
          <w:lang w:eastAsia="zh-CN"/>
        </w:rPr>
        <w:t>were</w:t>
      </w:r>
      <w:r w:rsidR="00BA5880" w:rsidRPr="00B91B7E">
        <w:rPr>
          <w:rFonts w:ascii="Times New Roman" w:eastAsiaTheme="minorEastAsia" w:hAnsi="Times New Roman"/>
          <w:sz w:val="22"/>
          <w:szCs w:val="22"/>
          <w:lang w:eastAsia="zh-CN"/>
        </w:rPr>
        <w:t xml:space="preserve"> </w:t>
      </w:r>
      <w:r w:rsidR="001557BF">
        <w:rPr>
          <w:rFonts w:ascii="Times New Roman" w:eastAsiaTheme="minorEastAsia" w:hAnsi="Times New Roman"/>
          <w:sz w:val="22"/>
          <w:szCs w:val="22"/>
          <w:lang w:eastAsia="zh-CN"/>
        </w:rPr>
        <w:t>made.</w:t>
      </w:r>
      <w:r w:rsidR="00790A31" w:rsidRPr="00B91B7E">
        <w:rPr>
          <w:rFonts w:ascii="Times New Roman" w:eastAsiaTheme="minorEastAsia" w:hAnsi="Times New Roman"/>
          <w:sz w:val="22"/>
          <w:szCs w:val="22"/>
          <w:lang w:eastAsia="zh-CN"/>
        </w:rPr>
        <w:t xml:space="preserve"> </w:t>
      </w:r>
      <w:r w:rsidR="008975FD" w:rsidRPr="00B91B7E">
        <w:rPr>
          <w:rFonts w:ascii="Times New Roman" w:eastAsiaTheme="minorEastAsia" w:hAnsi="Times New Roman"/>
          <w:sz w:val="22"/>
          <w:szCs w:val="22"/>
          <w:lang w:eastAsia="zh-CN"/>
        </w:rPr>
        <w:t>In this contribution, we discuss</w:t>
      </w:r>
      <w:r w:rsidR="00D5797A" w:rsidRPr="00B91B7E">
        <w:rPr>
          <w:rFonts w:ascii="Times New Roman" w:eastAsiaTheme="minorEastAsia" w:hAnsi="Times New Roman"/>
          <w:sz w:val="22"/>
          <w:szCs w:val="22"/>
          <w:lang w:eastAsia="zh-CN"/>
        </w:rPr>
        <w:t xml:space="preserve"> </w:t>
      </w:r>
      <w:r w:rsidR="00F43068">
        <w:rPr>
          <w:rFonts w:ascii="Times New Roman" w:eastAsiaTheme="minorEastAsia" w:hAnsi="Times New Roman"/>
          <w:sz w:val="22"/>
          <w:szCs w:val="22"/>
          <w:lang w:eastAsia="zh-CN"/>
        </w:rPr>
        <w:t>further details on</w:t>
      </w:r>
      <w:r w:rsidR="00987421" w:rsidRPr="00B91B7E">
        <w:rPr>
          <w:rFonts w:ascii="Times New Roman" w:eastAsiaTheme="minorEastAsia" w:hAnsi="Times New Roman"/>
          <w:sz w:val="22"/>
          <w:szCs w:val="22"/>
          <w:lang w:eastAsia="zh-CN"/>
        </w:rPr>
        <w:t xml:space="preserve"> </w:t>
      </w:r>
      <w:r w:rsidR="00F43068">
        <w:rPr>
          <w:rFonts w:ascii="Times New Roman" w:eastAsiaTheme="minorEastAsia" w:hAnsi="Times New Roman"/>
          <w:sz w:val="22"/>
          <w:szCs w:val="22"/>
          <w:lang w:eastAsia="zh-CN"/>
        </w:rPr>
        <w:t>Rel-17 beam management</w:t>
      </w:r>
      <w:r w:rsidR="00D5797A" w:rsidRPr="00B91B7E">
        <w:rPr>
          <w:rFonts w:ascii="Times New Roman" w:eastAsiaTheme="minorEastAsia" w:hAnsi="Times New Roman"/>
          <w:sz w:val="22"/>
          <w:szCs w:val="22"/>
          <w:lang w:eastAsia="zh-CN"/>
        </w:rPr>
        <w:t xml:space="preserve">. </w:t>
      </w:r>
    </w:p>
    <w:p w14:paraId="1B1C9223" w14:textId="77777777" w:rsidR="0003199F" w:rsidRPr="00B91B7E" w:rsidRDefault="0003199F" w:rsidP="00E913CF">
      <w:pPr>
        <w:pStyle w:val="BodyText"/>
        <w:spacing w:after="0"/>
        <w:rPr>
          <w:rFonts w:ascii="Times New Roman" w:eastAsiaTheme="minorEastAsia" w:hAnsi="Times New Roman"/>
          <w:sz w:val="22"/>
          <w:szCs w:val="22"/>
          <w:lang w:eastAsia="zh-CN"/>
        </w:rPr>
      </w:pPr>
    </w:p>
    <w:p w14:paraId="30C33DB1" w14:textId="77777777" w:rsidR="00115DAB" w:rsidRPr="00B91B7E" w:rsidRDefault="00115DAB" w:rsidP="00E854CD">
      <w:pPr>
        <w:pStyle w:val="Heading1"/>
        <w:numPr>
          <w:ilvl w:val="0"/>
          <w:numId w:val="4"/>
        </w:numPr>
        <w:spacing w:before="0" w:after="120" w:line="276" w:lineRule="auto"/>
        <w:contextualSpacing/>
        <w:jc w:val="both"/>
        <w:rPr>
          <w:rFonts w:ascii="Times New Roman" w:hAnsi="Times New Roman"/>
          <w:smallCaps/>
          <w:lang w:val="en-US"/>
        </w:rPr>
      </w:pPr>
      <w:r w:rsidRPr="00E854CD">
        <w:rPr>
          <w:rFonts w:ascii="Times New Roman" w:hAnsi="Times New Roman"/>
          <w:smallCaps/>
          <w:lang w:val="en-US"/>
        </w:rPr>
        <w:t>Unified TCI framework for DL and UL</w:t>
      </w:r>
    </w:p>
    <w:p w14:paraId="06EC3DB1" w14:textId="208D32E3" w:rsidR="00E933D5" w:rsidRPr="00B91B7E" w:rsidRDefault="00E933D5" w:rsidP="00006D5B">
      <w:pPr>
        <w:pStyle w:val="BodyText"/>
        <w:spacing w:after="60"/>
        <w:ind w:firstLine="288"/>
        <w:rPr>
          <w:rFonts w:ascii="Times New Roman" w:hAnsi="Times New Roman"/>
          <w:sz w:val="22"/>
          <w:szCs w:val="22"/>
        </w:rPr>
      </w:pPr>
      <w:r w:rsidRPr="00B91B7E">
        <w:rPr>
          <w:rFonts w:ascii="Times New Roman" w:hAnsi="Times New Roman"/>
          <w:sz w:val="22"/>
          <w:szCs w:val="22"/>
        </w:rPr>
        <w:t>In RAN1#10</w:t>
      </w:r>
      <w:r w:rsidR="00AC5215">
        <w:rPr>
          <w:rFonts w:ascii="Times New Roman" w:hAnsi="Times New Roman"/>
          <w:sz w:val="22"/>
          <w:szCs w:val="22"/>
        </w:rPr>
        <w:t>3</w:t>
      </w:r>
      <w:r w:rsidRPr="00B91B7E">
        <w:rPr>
          <w:rFonts w:ascii="Times New Roman" w:hAnsi="Times New Roman"/>
          <w:sz w:val="22"/>
          <w:szCs w:val="22"/>
        </w:rPr>
        <w:t>-e</w:t>
      </w:r>
      <w:r w:rsidR="0003199F" w:rsidRPr="00B91B7E">
        <w:rPr>
          <w:rFonts w:ascii="Times New Roman" w:hAnsi="Times New Roman"/>
          <w:sz w:val="22"/>
          <w:szCs w:val="22"/>
        </w:rPr>
        <w:t xml:space="preserve"> [1]</w:t>
      </w:r>
      <w:r w:rsidRPr="00B91B7E">
        <w:rPr>
          <w:rFonts w:ascii="Times New Roman" w:hAnsi="Times New Roman"/>
          <w:sz w:val="22"/>
          <w:szCs w:val="22"/>
        </w:rPr>
        <w:t xml:space="preserve">, </w:t>
      </w:r>
      <w:r w:rsidR="001E4082" w:rsidRPr="00B91B7E">
        <w:rPr>
          <w:rFonts w:ascii="Times New Roman" w:hAnsi="Times New Roman"/>
          <w:sz w:val="22"/>
          <w:szCs w:val="22"/>
        </w:rPr>
        <w:t xml:space="preserve">RAN1 agreed to support </w:t>
      </w:r>
      <w:r w:rsidR="00AC5215">
        <w:rPr>
          <w:rFonts w:ascii="Times New Roman" w:hAnsi="Times New Roman"/>
          <w:sz w:val="22"/>
          <w:szCs w:val="22"/>
        </w:rPr>
        <w:t xml:space="preserve">L1-based </w:t>
      </w:r>
      <w:r w:rsidRPr="00B91B7E">
        <w:rPr>
          <w:rFonts w:ascii="Times New Roman" w:hAnsi="Times New Roman"/>
          <w:sz w:val="22"/>
          <w:szCs w:val="22"/>
        </w:rPr>
        <w:t xml:space="preserve">joint TCI </w:t>
      </w:r>
      <w:r w:rsidR="001E4082" w:rsidRPr="00B91B7E">
        <w:rPr>
          <w:rFonts w:ascii="Times New Roman" w:hAnsi="Times New Roman"/>
          <w:sz w:val="22"/>
          <w:szCs w:val="22"/>
        </w:rPr>
        <w:t xml:space="preserve">state </w:t>
      </w:r>
      <w:r w:rsidR="00F61ACB">
        <w:rPr>
          <w:rFonts w:ascii="Times New Roman" w:hAnsi="Times New Roman"/>
          <w:sz w:val="22"/>
          <w:szCs w:val="22"/>
        </w:rPr>
        <w:t xml:space="preserve">and </w:t>
      </w:r>
      <w:r w:rsidR="00AC5215">
        <w:rPr>
          <w:rFonts w:ascii="Times New Roman" w:hAnsi="Times New Roman"/>
          <w:sz w:val="22"/>
          <w:szCs w:val="22"/>
        </w:rPr>
        <w:t xml:space="preserve">separate DL/UL TCI state based on the existing DCI formats 1_1 and 1_2 with a mechanism for UE to acknowledge successful decoding of beam indication. </w:t>
      </w:r>
      <w:r w:rsidRPr="00B91B7E">
        <w:rPr>
          <w:rFonts w:ascii="Times New Roman" w:hAnsi="Times New Roman"/>
          <w:sz w:val="22"/>
          <w:szCs w:val="22"/>
        </w:rPr>
        <w:t xml:space="preserve">In this section, we provide discussions on </w:t>
      </w:r>
      <w:r w:rsidR="006110DB" w:rsidRPr="00B91B7E">
        <w:rPr>
          <w:rFonts w:ascii="Times New Roman" w:hAnsi="Times New Roman"/>
          <w:sz w:val="22"/>
          <w:szCs w:val="22"/>
        </w:rPr>
        <w:t>the issues related to the unified TCI framework</w:t>
      </w:r>
      <w:r w:rsidRPr="00B91B7E">
        <w:rPr>
          <w:rFonts w:ascii="Times New Roman" w:hAnsi="Times New Roman"/>
          <w:sz w:val="22"/>
          <w:szCs w:val="22"/>
        </w:rPr>
        <w:t xml:space="preserve">. </w:t>
      </w:r>
    </w:p>
    <w:p w14:paraId="7CF64BEA" w14:textId="1E4AE873" w:rsidR="00670DD2" w:rsidRDefault="00670DD2" w:rsidP="00670DD2">
      <w:pPr>
        <w:pStyle w:val="BodyText"/>
        <w:spacing w:after="60"/>
        <w:ind w:left="760"/>
        <w:rPr>
          <w:rFonts w:ascii="Times New Roman" w:hAnsi="Times New Roman"/>
          <w:sz w:val="22"/>
          <w:szCs w:val="22"/>
        </w:rPr>
      </w:pPr>
    </w:p>
    <w:p w14:paraId="3AC44650" w14:textId="686B66CA" w:rsidR="00AC5215" w:rsidRPr="00AC5215" w:rsidRDefault="00AC5215" w:rsidP="00AC5215">
      <w:pPr>
        <w:pStyle w:val="BodyText"/>
        <w:spacing w:after="60"/>
        <w:rPr>
          <w:rFonts w:ascii="Times New Roman" w:hAnsi="Times New Roman"/>
          <w:b/>
          <w:bCs/>
          <w:sz w:val="22"/>
          <w:szCs w:val="22"/>
          <w:u w:val="single"/>
        </w:rPr>
      </w:pPr>
      <w:r w:rsidRPr="00AC5215">
        <w:rPr>
          <w:rFonts w:ascii="Times New Roman" w:hAnsi="Times New Roman"/>
          <w:b/>
          <w:bCs/>
          <w:sz w:val="22"/>
          <w:szCs w:val="22"/>
          <w:u w:val="single"/>
        </w:rPr>
        <w:t>Group common DCI for L1-based beam indication</w:t>
      </w:r>
    </w:p>
    <w:p w14:paraId="6A770FEE" w14:textId="7DCDD0F4" w:rsidR="00AC5215" w:rsidRDefault="00AC5215" w:rsidP="00AC5215">
      <w:pPr>
        <w:pStyle w:val="BodyText"/>
        <w:spacing w:after="60"/>
        <w:rPr>
          <w:rFonts w:ascii="Times New Roman" w:hAnsi="Times New Roman"/>
          <w:sz w:val="22"/>
          <w:szCs w:val="22"/>
        </w:rPr>
      </w:pPr>
    </w:p>
    <w:p w14:paraId="5BD61ED2" w14:textId="7107C3C7" w:rsidR="00AC5215" w:rsidRDefault="00AC5215" w:rsidP="00AC5215">
      <w:pPr>
        <w:pStyle w:val="BodyText"/>
        <w:spacing w:after="60"/>
        <w:rPr>
          <w:rFonts w:ascii="Times New Roman" w:hAnsi="Times New Roman"/>
          <w:sz w:val="22"/>
          <w:szCs w:val="22"/>
        </w:rPr>
      </w:pPr>
      <w:r>
        <w:rPr>
          <w:rFonts w:ascii="Times New Roman" w:hAnsi="Times New Roman"/>
          <w:sz w:val="22"/>
          <w:szCs w:val="22"/>
        </w:rPr>
        <w:tab/>
        <w:t xml:space="preserve">For L1-based beam indication, in addition to the existing DCI formats 1_1 and 1_2, utilization of group common DCI was proposed. The motivation is to achieve efficient beam indication based on reduced signaling overhead and latency by delivering beam information to multiple UEs simultaneously. However, performance benefits from group DCI are not clear as FR2 beam is narrow so that chances for simultaneous transmission can be rare events. </w:t>
      </w:r>
    </w:p>
    <w:p w14:paraId="46CE9242" w14:textId="07C149D5" w:rsidR="00AC5215" w:rsidRDefault="00AC5215" w:rsidP="00670DD2">
      <w:pPr>
        <w:pStyle w:val="BodyText"/>
        <w:spacing w:after="60"/>
        <w:ind w:left="760"/>
        <w:rPr>
          <w:rFonts w:ascii="Times New Roman" w:hAnsi="Times New Roman"/>
          <w:sz w:val="22"/>
          <w:szCs w:val="22"/>
        </w:rPr>
      </w:pPr>
    </w:p>
    <w:p w14:paraId="5C1F277A" w14:textId="3865D7A0" w:rsidR="00AC5215" w:rsidRPr="00B91B7E" w:rsidRDefault="00AC5215" w:rsidP="00AC5215">
      <w:pPr>
        <w:spacing w:after="0"/>
        <w:contextualSpacing/>
        <w:jc w:val="both"/>
        <w:rPr>
          <w:i/>
          <w:sz w:val="22"/>
        </w:rPr>
      </w:pPr>
      <w:r w:rsidRPr="00B91B7E">
        <w:rPr>
          <w:b/>
          <w:bCs/>
          <w:i/>
          <w:sz w:val="22"/>
        </w:rPr>
        <w:t xml:space="preserve">Observation 1: </w:t>
      </w:r>
      <w:r>
        <w:rPr>
          <w:i/>
          <w:sz w:val="22"/>
        </w:rPr>
        <w:t>Performance benefits from group-common DCI for L1-based beam indication are not clear as FR2 beam is narrow so that chances for simultaneous transmission can be rare events</w:t>
      </w:r>
      <w:r w:rsidRPr="00B91B7E">
        <w:rPr>
          <w:i/>
          <w:sz w:val="22"/>
        </w:rPr>
        <w:t>.</w:t>
      </w:r>
    </w:p>
    <w:p w14:paraId="323A5CF8" w14:textId="77777777" w:rsidR="00AC5215" w:rsidRPr="00B91B7E" w:rsidRDefault="00AC5215" w:rsidP="00AC5215">
      <w:pPr>
        <w:spacing w:after="0"/>
        <w:contextualSpacing/>
        <w:jc w:val="both"/>
      </w:pPr>
    </w:p>
    <w:p w14:paraId="040D7448" w14:textId="5B394A56" w:rsidR="00AC5215" w:rsidRPr="00B91B7E" w:rsidRDefault="00AC5215" w:rsidP="00AC5215">
      <w:pPr>
        <w:spacing w:after="0"/>
        <w:contextualSpacing/>
        <w:jc w:val="both"/>
        <w:rPr>
          <w:bCs/>
          <w:i/>
          <w:sz w:val="22"/>
        </w:rPr>
      </w:pPr>
      <w:r w:rsidRPr="00B91B7E">
        <w:rPr>
          <w:b/>
          <w:i/>
          <w:sz w:val="22"/>
        </w:rPr>
        <w:t>Proposal 1:</w:t>
      </w:r>
      <w:r w:rsidRPr="00B91B7E">
        <w:rPr>
          <w:bCs/>
          <w:i/>
          <w:sz w:val="22"/>
        </w:rPr>
        <w:t xml:space="preserve"> </w:t>
      </w:r>
      <w:r>
        <w:rPr>
          <w:bCs/>
          <w:i/>
          <w:sz w:val="22"/>
        </w:rPr>
        <w:t>L1-based beam indication with group-common DCI is not supported</w:t>
      </w:r>
      <w:r w:rsidRPr="00B91B7E">
        <w:rPr>
          <w:bCs/>
          <w:i/>
          <w:sz w:val="22"/>
        </w:rPr>
        <w:t>.</w:t>
      </w:r>
    </w:p>
    <w:p w14:paraId="1D3A2EB9" w14:textId="266EE838" w:rsidR="00AC5215" w:rsidRDefault="00AC5215" w:rsidP="00670DD2">
      <w:pPr>
        <w:pStyle w:val="BodyText"/>
        <w:spacing w:after="60"/>
        <w:ind w:left="760"/>
        <w:rPr>
          <w:rFonts w:ascii="Times New Roman" w:hAnsi="Times New Roman"/>
          <w:sz w:val="22"/>
          <w:szCs w:val="22"/>
          <w:lang w:val="en-GB"/>
        </w:rPr>
      </w:pPr>
    </w:p>
    <w:p w14:paraId="49313895" w14:textId="2CE6B52B" w:rsidR="00292D52" w:rsidRPr="00AC5215" w:rsidRDefault="00292D52" w:rsidP="00292D52">
      <w:pPr>
        <w:pStyle w:val="BodyText"/>
        <w:spacing w:after="60"/>
        <w:rPr>
          <w:rFonts w:ascii="Times New Roman" w:hAnsi="Times New Roman"/>
          <w:b/>
          <w:bCs/>
          <w:sz w:val="22"/>
          <w:szCs w:val="22"/>
          <w:u w:val="single"/>
        </w:rPr>
      </w:pPr>
      <w:r>
        <w:rPr>
          <w:rFonts w:ascii="Times New Roman" w:hAnsi="Times New Roman"/>
          <w:b/>
          <w:bCs/>
          <w:sz w:val="22"/>
          <w:szCs w:val="22"/>
          <w:u w:val="single"/>
        </w:rPr>
        <w:t>DCI formats for separate UL beam indication</w:t>
      </w:r>
    </w:p>
    <w:p w14:paraId="07CF8284" w14:textId="29C0F1F0" w:rsidR="00292D52" w:rsidRDefault="00292D52" w:rsidP="00292D52">
      <w:pPr>
        <w:pStyle w:val="BodyText"/>
        <w:spacing w:after="60"/>
        <w:rPr>
          <w:rFonts w:ascii="Times New Roman" w:hAnsi="Times New Roman"/>
          <w:sz w:val="22"/>
          <w:szCs w:val="22"/>
        </w:rPr>
      </w:pPr>
    </w:p>
    <w:p w14:paraId="7C8EFE9C" w14:textId="5ED3A6A0" w:rsidR="00292D52" w:rsidRDefault="00292D52" w:rsidP="00292D52">
      <w:pPr>
        <w:pStyle w:val="BodyText"/>
        <w:spacing w:after="60"/>
        <w:rPr>
          <w:rFonts w:ascii="Times New Roman" w:hAnsi="Times New Roman"/>
          <w:sz w:val="22"/>
          <w:szCs w:val="22"/>
        </w:rPr>
      </w:pPr>
      <w:r>
        <w:rPr>
          <w:rFonts w:ascii="Times New Roman" w:hAnsi="Times New Roman"/>
          <w:sz w:val="22"/>
          <w:szCs w:val="22"/>
        </w:rPr>
        <w:tab/>
        <w:t>When gNB utilizes the existing DCI formats 1_1 and 1_2 for separate UL beam indication, the overall operation may not be efficient as the existing DCI formats 1_1 and 1_2 are DL DCI formats. Figure</w:t>
      </w:r>
      <w:r w:rsidR="00713148">
        <w:rPr>
          <w:rFonts w:ascii="Times New Roman" w:hAnsi="Times New Roman"/>
          <w:sz w:val="22"/>
          <w:szCs w:val="22"/>
        </w:rPr>
        <w:t>s</w:t>
      </w:r>
      <w:r>
        <w:rPr>
          <w:rFonts w:ascii="Times New Roman" w:hAnsi="Times New Roman"/>
          <w:sz w:val="22"/>
          <w:szCs w:val="22"/>
        </w:rPr>
        <w:t xml:space="preserve"> 1 </w:t>
      </w:r>
      <w:r w:rsidR="00713148">
        <w:rPr>
          <w:rFonts w:ascii="Times New Roman" w:hAnsi="Times New Roman"/>
          <w:sz w:val="22"/>
          <w:szCs w:val="22"/>
        </w:rPr>
        <w:t xml:space="preserve">– 2 </w:t>
      </w:r>
      <w:r>
        <w:rPr>
          <w:rFonts w:ascii="Times New Roman" w:hAnsi="Times New Roman"/>
          <w:sz w:val="22"/>
          <w:szCs w:val="22"/>
        </w:rPr>
        <w:t>show exemplary operation</w:t>
      </w:r>
      <w:r w:rsidR="00713148">
        <w:rPr>
          <w:rFonts w:ascii="Times New Roman" w:hAnsi="Times New Roman"/>
          <w:sz w:val="22"/>
          <w:szCs w:val="22"/>
        </w:rPr>
        <w:t>s</w:t>
      </w:r>
      <w:r>
        <w:rPr>
          <w:rFonts w:ascii="Times New Roman" w:hAnsi="Times New Roman"/>
          <w:sz w:val="22"/>
          <w:szCs w:val="22"/>
        </w:rPr>
        <w:t xml:space="preserve"> with the </w:t>
      </w:r>
      <w:r w:rsidR="00713148">
        <w:rPr>
          <w:rFonts w:ascii="Times New Roman" w:hAnsi="Times New Roman"/>
          <w:sz w:val="22"/>
          <w:szCs w:val="22"/>
        </w:rPr>
        <w:t>D</w:t>
      </w:r>
      <w:r>
        <w:rPr>
          <w:rFonts w:ascii="Times New Roman" w:hAnsi="Times New Roman"/>
          <w:sz w:val="22"/>
          <w:szCs w:val="22"/>
        </w:rPr>
        <w:t xml:space="preserve">CI formats </w:t>
      </w:r>
      <w:r w:rsidR="00713148">
        <w:rPr>
          <w:rFonts w:ascii="Times New Roman" w:hAnsi="Times New Roman"/>
          <w:sz w:val="22"/>
          <w:szCs w:val="22"/>
        </w:rPr>
        <w:t xml:space="preserve">1_1/1_2 and the DCI formats 0_1/0_2, respectively, </w:t>
      </w:r>
      <w:r>
        <w:rPr>
          <w:rFonts w:ascii="Times New Roman" w:hAnsi="Times New Roman"/>
          <w:sz w:val="22"/>
          <w:szCs w:val="22"/>
        </w:rPr>
        <w:t xml:space="preserve">for separate UL beam indication. </w:t>
      </w:r>
    </w:p>
    <w:p w14:paraId="3C2EBF9B" w14:textId="2B5FF225" w:rsidR="00292D52" w:rsidRDefault="00292D52" w:rsidP="00292D52">
      <w:pPr>
        <w:pStyle w:val="BodyText"/>
        <w:spacing w:after="60"/>
        <w:rPr>
          <w:rFonts w:ascii="Times New Roman" w:hAnsi="Times New Roman"/>
          <w:sz w:val="22"/>
          <w:szCs w:val="22"/>
        </w:rPr>
      </w:pPr>
    </w:p>
    <w:p w14:paraId="19931F12" w14:textId="685AD3DB" w:rsidR="00713148" w:rsidRPr="001E23A0" w:rsidRDefault="00713148" w:rsidP="00713148">
      <w:pPr>
        <w:pStyle w:val="Caption"/>
        <w:jc w:val="center"/>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1</w:t>
      </w:r>
      <w:r w:rsidRPr="001E23A0">
        <w:rPr>
          <w:rFonts w:ascii="Arial" w:hAnsi="Arial" w:cs="Arial"/>
        </w:rPr>
        <w:t xml:space="preserve"> </w:t>
      </w:r>
      <w:r>
        <w:rPr>
          <w:rFonts w:ascii="Arial" w:hAnsi="Arial" w:cs="Arial"/>
          <w:b w:val="0"/>
          <w:bCs w:val="0"/>
        </w:rPr>
        <w:t>Separate UL beam indication with DCI formats 1_1 and 1_2</w:t>
      </w:r>
    </w:p>
    <w:p w14:paraId="6A0E55D2" w14:textId="5B5A0018" w:rsidR="00292D52" w:rsidRDefault="00292D52" w:rsidP="00713148">
      <w:pPr>
        <w:pStyle w:val="BodyText"/>
        <w:spacing w:after="60"/>
        <w:ind w:firstLine="105"/>
        <w:jc w:val="center"/>
        <w:rPr>
          <w:rFonts w:ascii="Times New Roman" w:hAnsi="Times New Roman"/>
          <w:sz w:val="22"/>
          <w:szCs w:val="22"/>
        </w:rPr>
      </w:pPr>
      <w:r>
        <w:rPr>
          <w:rFonts w:ascii="Times New Roman" w:hAnsi="Times New Roman"/>
          <w:noProof/>
          <w:sz w:val="22"/>
          <w:szCs w:val="22"/>
        </w:rPr>
        <w:lastRenderedPageBreak/>
        <w:drawing>
          <wp:inline distT="0" distB="0" distL="0" distR="0" wp14:anchorId="0C48168D" wp14:editId="4AACAACC">
            <wp:extent cx="5396545" cy="18352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6770" cy="1838773"/>
                    </a:xfrm>
                    <a:prstGeom prst="rect">
                      <a:avLst/>
                    </a:prstGeom>
                    <a:noFill/>
                  </pic:spPr>
                </pic:pic>
              </a:graphicData>
            </a:graphic>
          </wp:inline>
        </w:drawing>
      </w:r>
    </w:p>
    <w:p w14:paraId="2DE3B0F1" w14:textId="787F05E9" w:rsidR="00713148" w:rsidRPr="001E23A0" w:rsidRDefault="00713148" w:rsidP="00713148">
      <w:pPr>
        <w:pStyle w:val="Caption"/>
        <w:jc w:val="center"/>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2</w:t>
      </w:r>
      <w:r w:rsidRPr="001E23A0">
        <w:rPr>
          <w:rFonts w:ascii="Arial" w:hAnsi="Arial" w:cs="Arial"/>
        </w:rPr>
        <w:t xml:space="preserve"> </w:t>
      </w:r>
      <w:r>
        <w:rPr>
          <w:rFonts w:ascii="Arial" w:hAnsi="Arial" w:cs="Arial"/>
          <w:b w:val="0"/>
          <w:bCs w:val="0"/>
        </w:rPr>
        <w:t>Separate UL beam indication with DCI formats 0_1 and 0_2</w:t>
      </w:r>
    </w:p>
    <w:p w14:paraId="0E1059D9" w14:textId="722D16FA" w:rsidR="00292D52" w:rsidRPr="00292D52" w:rsidRDefault="00D4360A" w:rsidP="00713148">
      <w:pPr>
        <w:pStyle w:val="BodyText"/>
        <w:spacing w:after="60"/>
        <w:ind w:firstLine="105"/>
        <w:jc w:val="center"/>
        <w:rPr>
          <w:rFonts w:ascii="Times New Roman" w:hAnsi="Times New Roman"/>
          <w:sz w:val="22"/>
          <w:szCs w:val="22"/>
        </w:rPr>
      </w:pPr>
      <w:r>
        <w:rPr>
          <w:rFonts w:ascii="Times New Roman" w:hAnsi="Times New Roman"/>
          <w:noProof/>
          <w:sz w:val="22"/>
          <w:szCs w:val="22"/>
        </w:rPr>
        <w:drawing>
          <wp:inline distT="0" distB="0" distL="0" distR="0" wp14:anchorId="2E402946" wp14:editId="17D50874">
            <wp:extent cx="3960949" cy="17812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70473" cy="1785513"/>
                    </a:xfrm>
                    <a:prstGeom prst="rect">
                      <a:avLst/>
                    </a:prstGeom>
                    <a:noFill/>
                  </pic:spPr>
                </pic:pic>
              </a:graphicData>
            </a:graphic>
          </wp:inline>
        </w:drawing>
      </w:r>
    </w:p>
    <w:p w14:paraId="4596A5BA" w14:textId="1BF6B8A5" w:rsidR="00713148" w:rsidRDefault="00713148" w:rsidP="00713148">
      <w:pPr>
        <w:pStyle w:val="BodyText"/>
        <w:spacing w:after="60"/>
        <w:rPr>
          <w:rFonts w:ascii="Times New Roman" w:hAnsi="Times New Roman"/>
          <w:sz w:val="22"/>
          <w:szCs w:val="22"/>
          <w:lang w:val="en-GB"/>
        </w:rPr>
      </w:pPr>
      <w:r>
        <w:rPr>
          <w:rFonts w:ascii="Times New Roman" w:hAnsi="Times New Roman"/>
          <w:sz w:val="22"/>
          <w:szCs w:val="22"/>
          <w:lang w:val="en-GB"/>
        </w:rPr>
        <w:tab/>
        <w:t xml:space="preserve">As shown in Figure 1, when gNB utilizes the DCI formats 1_1 and 1_2, UE needs to decode both DL DCI for </w:t>
      </w:r>
      <w:r w:rsidR="00F61ACB">
        <w:rPr>
          <w:rFonts w:ascii="Times New Roman" w:hAnsi="Times New Roman"/>
          <w:sz w:val="22"/>
          <w:szCs w:val="22"/>
          <w:lang w:val="en-GB"/>
        </w:rPr>
        <w:t xml:space="preserve">new </w:t>
      </w:r>
      <w:r>
        <w:rPr>
          <w:rFonts w:ascii="Times New Roman" w:hAnsi="Times New Roman"/>
          <w:sz w:val="22"/>
          <w:szCs w:val="22"/>
          <w:lang w:val="en-GB"/>
        </w:rPr>
        <w:t xml:space="preserve">beam indication and UL DCI for PUSCH scheduling. In addition, UL scheduling offset and processing time for new beam application should be independently applied as </w:t>
      </w:r>
      <w:r w:rsidR="00F61ACB">
        <w:rPr>
          <w:rFonts w:ascii="Times New Roman" w:hAnsi="Times New Roman"/>
          <w:sz w:val="22"/>
          <w:szCs w:val="22"/>
          <w:lang w:val="en-GB"/>
        </w:rPr>
        <w:t xml:space="preserve">the new </w:t>
      </w:r>
      <w:r>
        <w:rPr>
          <w:rFonts w:ascii="Times New Roman" w:hAnsi="Times New Roman"/>
          <w:sz w:val="22"/>
          <w:szCs w:val="22"/>
          <w:lang w:val="en-GB"/>
        </w:rPr>
        <w:t xml:space="preserve">beam indication and </w:t>
      </w:r>
      <w:r w:rsidR="00F61ACB">
        <w:rPr>
          <w:rFonts w:ascii="Times New Roman" w:hAnsi="Times New Roman"/>
          <w:sz w:val="22"/>
          <w:szCs w:val="22"/>
          <w:lang w:val="en-GB"/>
        </w:rPr>
        <w:t>the PUSCH</w:t>
      </w:r>
      <w:r>
        <w:rPr>
          <w:rFonts w:ascii="Times New Roman" w:hAnsi="Times New Roman"/>
          <w:sz w:val="22"/>
          <w:szCs w:val="22"/>
          <w:lang w:val="en-GB"/>
        </w:rPr>
        <w:t xml:space="preserve"> utilize different DCI formats. On the other hand, </w:t>
      </w:r>
      <w:r w:rsidR="009A7A56">
        <w:rPr>
          <w:rFonts w:ascii="Times New Roman" w:hAnsi="Times New Roman"/>
          <w:sz w:val="22"/>
          <w:szCs w:val="22"/>
          <w:lang w:val="en-GB"/>
        </w:rPr>
        <w:t xml:space="preserve">when gNB utilizes the DCI formats 0_1 and 0_2 </w:t>
      </w:r>
      <w:r w:rsidR="00F61ACB">
        <w:rPr>
          <w:rFonts w:ascii="Times New Roman" w:hAnsi="Times New Roman"/>
          <w:sz w:val="22"/>
          <w:szCs w:val="22"/>
          <w:lang w:val="en-GB"/>
        </w:rPr>
        <w:t xml:space="preserve">for both new beam indication and PUSCH scheduling </w:t>
      </w:r>
      <w:r>
        <w:rPr>
          <w:rFonts w:ascii="Times New Roman" w:hAnsi="Times New Roman"/>
          <w:sz w:val="22"/>
          <w:szCs w:val="22"/>
          <w:lang w:val="en-GB"/>
        </w:rPr>
        <w:t xml:space="preserve">as shown in Figure 2, </w:t>
      </w:r>
      <w:r w:rsidR="009A7A56">
        <w:rPr>
          <w:rFonts w:ascii="Times New Roman" w:hAnsi="Times New Roman"/>
          <w:sz w:val="22"/>
          <w:szCs w:val="22"/>
          <w:lang w:val="en-GB"/>
        </w:rPr>
        <w:t xml:space="preserve">UE needs to decode only UL DCI, so PDCCH decoding latency can be reduced. In addition, processing time for PUSCH transmission and new beam application can be combined if UE </w:t>
      </w:r>
      <w:r w:rsidR="00F61ACB">
        <w:rPr>
          <w:rFonts w:ascii="Times New Roman" w:hAnsi="Times New Roman"/>
          <w:sz w:val="22"/>
          <w:szCs w:val="22"/>
          <w:lang w:val="en-GB"/>
        </w:rPr>
        <w:t xml:space="preserve">implementation allows </w:t>
      </w:r>
      <w:r w:rsidR="009A7A56">
        <w:rPr>
          <w:rFonts w:ascii="Times New Roman" w:hAnsi="Times New Roman"/>
          <w:sz w:val="22"/>
          <w:szCs w:val="22"/>
          <w:lang w:val="en-GB"/>
        </w:rPr>
        <w:t>simultaneous process</w:t>
      </w:r>
      <w:r w:rsidR="00F61ACB">
        <w:rPr>
          <w:rFonts w:ascii="Times New Roman" w:hAnsi="Times New Roman"/>
          <w:sz w:val="22"/>
          <w:szCs w:val="22"/>
          <w:lang w:val="en-GB"/>
        </w:rPr>
        <w:t>ing of</w:t>
      </w:r>
      <w:r w:rsidR="009A7A56">
        <w:rPr>
          <w:rFonts w:ascii="Times New Roman" w:hAnsi="Times New Roman"/>
          <w:sz w:val="22"/>
          <w:szCs w:val="22"/>
          <w:lang w:val="en-GB"/>
        </w:rPr>
        <w:t xml:space="preserve"> both operations.  </w:t>
      </w:r>
    </w:p>
    <w:p w14:paraId="54E135A4" w14:textId="2A24538B" w:rsidR="00713148" w:rsidRDefault="00713148" w:rsidP="00713148">
      <w:pPr>
        <w:pStyle w:val="BodyText"/>
        <w:spacing w:after="60"/>
        <w:rPr>
          <w:rFonts w:ascii="Times New Roman" w:hAnsi="Times New Roman"/>
          <w:sz w:val="22"/>
          <w:szCs w:val="22"/>
          <w:lang w:val="en-GB"/>
        </w:rPr>
      </w:pPr>
    </w:p>
    <w:p w14:paraId="45AC32D4" w14:textId="6CB91A44" w:rsidR="005B321E" w:rsidRPr="00B91B7E" w:rsidRDefault="005B321E" w:rsidP="005B321E">
      <w:pPr>
        <w:spacing w:after="0"/>
        <w:contextualSpacing/>
        <w:jc w:val="both"/>
        <w:rPr>
          <w:i/>
          <w:sz w:val="22"/>
        </w:rPr>
      </w:pPr>
      <w:r w:rsidRPr="00B91B7E">
        <w:rPr>
          <w:b/>
          <w:bCs/>
          <w:i/>
          <w:sz w:val="22"/>
        </w:rPr>
        <w:t xml:space="preserve">Observation </w:t>
      </w:r>
      <w:r w:rsidR="00161F89">
        <w:rPr>
          <w:b/>
          <w:bCs/>
          <w:i/>
          <w:sz w:val="22"/>
        </w:rPr>
        <w:t>2</w:t>
      </w:r>
      <w:r w:rsidRPr="00B91B7E">
        <w:rPr>
          <w:b/>
          <w:bCs/>
          <w:i/>
          <w:sz w:val="22"/>
        </w:rPr>
        <w:t xml:space="preserve">: </w:t>
      </w:r>
      <w:r>
        <w:rPr>
          <w:i/>
          <w:sz w:val="22"/>
        </w:rPr>
        <w:t xml:space="preserve">For separate UL beam indication, utilization of existing UL DCI formats </w:t>
      </w:r>
      <w:r w:rsidR="00F61ACB">
        <w:rPr>
          <w:i/>
          <w:sz w:val="22"/>
        </w:rPr>
        <w:t xml:space="preserve">0_1 and 0_2 </w:t>
      </w:r>
      <w:r w:rsidR="00161F89">
        <w:rPr>
          <w:i/>
          <w:sz w:val="22"/>
        </w:rPr>
        <w:t>is</w:t>
      </w:r>
      <w:r>
        <w:rPr>
          <w:i/>
          <w:sz w:val="22"/>
        </w:rPr>
        <w:t xml:space="preserve"> more efficient as it </w:t>
      </w:r>
      <w:proofErr w:type="gramStart"/>
      <w:r>
        <w:rPr>
          <w:i/>
          <w:sz w:val="22"/>
        </w:rPr>
        <w:t>doesn’t</w:t>
      </w:r>
      <w:proofErr w:type="gramEnd"/>
      <w:r>
        <w:rPr>
          <w:i/>
          <w:sz w:val="22"/>
        </w:rPr>
        <w:t xml:space="preserve"> require multiple PDCCH decoding and combined UE processing </w:t>
      </w:r>
      <w:r w:rsidR="00117514">
        <w:rPr>
          <w:i/>
          <w:sz w:val="22"/>
        </w:rPr>
        <w:t xml:space="preserve">time is possible </w:t>
      </w:r>
      <w:r>
        <w:rPr>
          <w:i/>
          <w:sz w:val="22"/>
        </w:rPr>
        <w:t xml:space="preserve">if UE </w:t>
      </w:r>
      <w:r w:rsidR="008737EC">
        <w:rPr>
          <w:i/>
          <w:sz w:val="22"/>
        </w:rPr>
        <w:t>implementation allows simultaneous processing</w:t>
      </w:r>
      <w:r w:rsidRPr="00B91B7E">
        <w:rPr>
          <w:i/>
          <w:sz w:val="22"/>
        </w:rPr>
        <w:t>.</w:t>
      </w:r>
    </w:p>
    <w:p w14:paraId="7A26B8E4" w14:textId="77777777" w:rsidR="005B321E" w:rsidRPr="00B91B7E" w:rsidRDefault="005B321E" w:rsidP="005B321E">
      <w:pPr>
        <w:spacing w:after="0"/>
        <w:contextualSpacing/>
        <w:jc w:val="both"/>
      </w:pPr>
    </w:p>
    <w:p w14:paraId="3A9006C7" w14:textId="539E7DF8" w:rsidR="005B321E" w:rsidRPr="00B91B7E" w:rsidRDefault="005B321E" w:rsidP="005B321E">
      <w:pPr>
        <w:spacing w:after="0"/>
        <w:contextualSpacing/>
        <w:jc w:val="both"/>
        <w:rPr>
          <w:bCs/>
          <w:i/>
          <w:sz w:val="22"/>
        </w:rPr>
      </w:pPr>
      <w:r w:rsidRPr="00B91B7E">
        <w:rPr>
          <w:b/>
          <w:i/>
          <w:sz w:val="22"/>
        </w:rPr>
        <w:t xml:space="preserve">Proposal </w:t>
      </w:r>
      <w:r w:rsidR="00161F89">
        <w:rPr>
          <w:b/>
          <w:i/>
          <w:sz w:val="22"/>
        </w:rPr>
        <w:t>2</w:t>
      </w:r>
      <w:r w:rsidRPr="00B91B7E">
        <w:rPr>
          <w:b/>
          <w:i/>
          <w:sz w:val="22"/>
        </w:rPr>
        <w:t>:</w:t>
      </w:r>
      <w:r w:rsidRPr="00B91B7E">
        <w:rPr>
          <w:bCs/>
          <w:i/>
          <w:sz w:val="22"/>
        </w:rPr>
        <w:t xml:space="preserve"> </w:t>
      </w:r>
      <w:r w:rsidR="00161F89">
        <w:rPr>
          <w:bCs/>
          <w:i/>
          <w:sz w:val="22"/>
        </w:rPr>
        <w:t>For separate UL beam indication, utilization of the existing UL DCI formats 0_1 and 0_2 is preferred.</w:t>
      </w:r>
    </w:p>
    <w:p w14:paraId="4EA5B20B" w14:textId="67AA7372" w:rsidR="005B321E" w:rsidRDefault="005B321E" w:rsidP="00713148">
      <w:pPr>
        <w:pStyle w:val="BodyText"/>
        <w:spacing w:after="60"/>
        <w:rPr>
          <w:rFonts w:ascii="Times New Roman" w:hAnsi="Times New Roman"/>
          <w:sz w:val="22"/>
          <w:szCs w:val="22"/>
          <w:lang w:val="en-GB"/>
        </w:rPr>
      </w:pPr>
    </w:p>
    <w:p w14:paraId="111BC910" w14:textId="0D7E3C93" w:rsidR="005E15A4" w:rsidRPr="005E15A4" w:rsidRDefault="00AD2EE0" w:rsidP="00713148">
      <w:pPr>
        <w:pStyle w:val="BodyText"/>
        <w:spacing w:after="60"/>
        <w:rPr>
          <w:rFonts w:ascii="Times New Roman" w:hAnsi="Times New Roman"/>
          <w:b/>
          <w:bCs/>
          <w:sz w:val="22"/>
          <w:szCs w:val="22"/>
          <w:u w:val="single"/>
          <w:lang w:val="en-GB"/>
        </w:rPr>
      </w:pPr>
      <w:r>
        <w:rPr>
          <w:rFonts w:ascii="Times New Roman" w:hAnsi="Times New Roman"/>
          <w:b/>
          <w:bCs/>
          <w:sz w:val="22"/>
          <w:szCs w:val="22"/>
          <w:u w:val="single"/>
          <w:lang w:val="en-GB"/>
        </w:rPr>
        <w:t>Beam a</w:t>
      </w:r>
      <w:r w:rsidR="005E15A4" w:rsidRPr="005E15A4">
        <w:rPr>
          <w:rFonts w:ascii="Times New Roman" w:hAnsi="Times New Roman"/>
          <w:b/>
          <w:bCs/>
          <w:sz w:val="22"/>
          <w:szCs w:val="22"/>
          <w:u w:val="single"/>
          <w:lang w:val="en-GB"/>
        </w:rPr>
        <w:t>pplication time for unified TCI framework</w:t>
      </w:r>
    </w:p>
    <w:p w14:paraId="18AD7578" w14:textId="7E977503" w:rsidR="005E15A4" w:rsidRDefault="005E15A4" w:rsidP="00713148">
      <w:pPr>
        <w:pStyle w:val="BodyText"/>
        <w:spacing w:after="60"/>
        <w:rPr>
          <w:rFonts w:ascii="Times New Roman" w:hAnsi="Times New Roman"/>
          <w:sz w:val="22"/>
          <w:szCs w:val="22"/>
          <w:lang w:val="en-GB"/>
        </w:rPr>
      </w:pPr>
    </w:p>
    <w:p w14:paraId="1370FFFC" w14:textId="72B1CDAF" w:rsidR="005E15A4" w:rsidRDefault="00D4360A" w:rsidP="00D4360A">
      <w:pPr>
        <w:pStyle w:val="BodyText"/>
        <w:spacing w:after="60"/>
        <w:ind w:firstLine="288"/>
        <w:rPr>
          <w:rFonts w:ascii="Times New Roman" w:hAnsi="Times New Roman"/>
          <w:sz w:val="22"/>
          <w:szCs w:val="22"/>
          <w:lang w:val="en-GB"/>
        </w:rPr>
      </w:pPr>
      <w:r>
        <w:rPr>
          <w:rFonts w:ascii="Times New Roman" w:hAnsi="Times New Roman"/>
          <w:sz w:val="22"/>
          <w:szCs w:val="22"/>
          <w:lang w:val="en-GB"/>
        </w:rPr>
        <w:t>In RAN1#103-e, regarding application time of the beam indication, following alternatives are provided:</w:t>
      </w:r>
    </w:p>
    <w:p w14:paraId="51AA3BE8" w14:textId="77777777" w:rsidR="00D4360A" w:rsidRPr="00D4360A" w:rsidRDefault="00D4360A" w:rsidP="00D4360A">
      <w:pPr>
        <w:pStyle w:val="BodyText"/>
        <w:numPr>
          <w:ilvl w:val="0"/>
          <w:numId w:val="17"/>
        </w:numPr>
        <w:spacing w:after="60"/>
        <w:rPr>
          <w:sz w:val="22"/>
          <w:szCs w:val="22"/>
        </w:rPr>
      </w:pPr>
      <w:r w:rsidRPr="00D4360A">
        <w:rPr>
          <w:sz w:val="22"/>
          <w:szCs w:val="22"/>
        </w:rPr>
        <w:t>Alt1: the first slot that is at least X ms or Y symbols after the DCI with the joint or separate DL/UL beam indication</w:t>
      </w:r>
    </w:p>
    <w:p w14:paraId="0AC91E48" w14:textId="0F00C13F" w:rsidR="00D4360A" w:rsidRDefault="00D4360A" w:rsidP="00D4360A">
      <w:pPr>
        <w:pStyle w:val="BodyText"/>
        <w:numPr>
          <w:ilvl w:val="0"/>
          <w:numId w:val="17"/>
        </w:numPr>
        <w:spacing w:after="60"/>
        <w:rPr>
          <w:sz w:val="22"/>
          <w:szCs w:val="22"/>
        </w:rPr>
      </w:pPr>
      <w:r w:rsidRPr="00D4360A">
        <w:rPr>
          <w:sz w:val="22"/>
          <w:szCs w:val="22"/>
        </w:rPr>
        <w:t xml:space="preserve">Alt2: the first slot that is at least X ms or Y symbols after the acknowledgment of the joint or separate DL/UL beam indication </w:t>
      </w:r>
    </w:p>
    <w:p w14:paraId="2B02451C" w14:textId="77777777" w:rsidR="006F24C3" w:rsidRPr="00D4360A" w:rsidRDefault="006F24C3" w:rsidP="006F24C3">
      <w:pPr>
        <w:pStyle w:val="BodyText"/>
        <w:spacing w:after="60"/>
        <w:ind w:left="720"/>
        <w:rPr>
          <w:sz w:val="22"/>
          <w:szCs w:val="22"/>
        </w:rPr>
      </w:pPr>
    </w:p>
    <w:p w14:paraId="141DAA5C" w14:textId="0ED9BAC1" w:rsidR="00D4360A" w:rsidRDefault="00BA45EC" w:rsidP="00BA45EC">
      <w:pPr>
        <w:pStyle w:val="BodyText"/>
        <w:spacing w:after="60"/>
        <w:rPr>
          <w:rFonts w:ascii="Times New Roman" w:hAnsi="Times New Roman"/>
          <w:sz w:val="22"/>
          <w:szCs w:val="22"/>
        </w:rPr>
      </w:pPr>
      <w:r>
        <w:rPr>
          <w:rFonts w:ascii="Times New Roman" w:hAnsi="Times New Roman"/>
          <w:sz w:val="22"/>
          <w:szCs w:val="22"/>
        </w:rPr>
        <w:t xml:space="preserve">When UE receives L1-based beam indication, corresponding PUCCH transmission for ACK/NACK should be based on previously indicated beam as the UE didn’t send the confirmation to gNB yet. In that regard, it is obvious that UE’s beam changing procedure </w:t>
      </w:r>
      <w:r w:rsidR="00545161">
        <w:rPr>
          <w:rFonts w:ascii="Times New Roman" w:hAnsi="Times New Roman"/>
          <w:sz w:val="22"/>
          <w:szCs w:val="22"/>
        </w:rPr>
        <w:t>initiate</w:t>
      </w:r>
      <w:r>
        <w:rPr>
          <w:rFonts w:ascii="Times New Roman" w:hAnsi="Times New Roman"/>
          <w:sz w:val="22"/>
          <w:szCs w:val="22"/>
        </w:rPr>
        <w:t xml:space="preserve">s after sending </w:t>
      </w:r>
      <w:r w:rsidR="00545161">
        <w:rPr>
          <w:rFonts w:ascii="Times New Roman" w:hAnsi="Times New Roman"/>
          <w:sz w:val="22"/>
          <w:szCs w:val="22"/>
        </w:rPr>
        <w:t xml:space="preserve">the </w:t>
      </w:r>
      <w:r>
        <w:rPr>
          <w:rFonts w:ascii="Times New Roman" w:hAnsi="Times New Roman"/>
          <w:sz w:val="22"/>
          <w:szCs w:val="22"/>
        </w:rPr>
        <w:t>PUCCH not after decoding PDCCH which provides L1-</w:t>
      </w:r>
      <w:r>
        <w:rPr>
          <w:rFonts w:ascii="Times New Roman" w:hAnsi="Times New Roman"/>
          <w:sz w:val="22"/>
          <w:szCs w:val="22"/>
        </w:rPr>
        <w:lastRenderedPageBreak/>
        <w:t xml:space="preserve">based beam indication. Therefore, it is preferred to apply newly indicate beam X ms or Y symbols after the acknowledgement of the beam indication. However, the application time of the beam indication does not need to be applied for all PDCCH transmission with DCI formats 1_1 and 1_2. As DCI formats 1_1 and 1_2 </w:t>
      </w:r>
      <w:proofErr w:type="gramStart"/>
      <w:r>
        <w:rPr>
          <w:rFonts w:ascii="Times New Roman" w:hAnsi="Times New Roman"/>
          <w:sz w:val="22"/>
          <w:szCs w:val="22"/>
        </w:rPr>
        <w:t>are</w:t>
      </w:r>
      <w:proofErr w:type="gramEnd"/>
      <w:r>
        <w:rPr>
          <w:rFonts w:ascii="Times New Roman" w:hAnsi="Times New Roman"/>
          <w:sz w:val="22"/>
          <w:szCs w:val="22"/>
        </w:rPr>
        <w:t xml:space="preserve"> not dedicated DCI</w:t>
      </w:r>
      <w:r w:rsidR="009875FB">
        <w:rPr>
          <w:rFonts w:ascii="Times New Roman" w:hAnsi="Times New Roman"/>
          <w:sz w:val="22"/>
          <w:szCs w:val="22"/>
        </w:rPr>
        <w:t xml:space="preserve"> format</w:t>
      </w:r>
      <w:r>
        <w:rPr>
          <w:rFonts w:ascii="Times New Roman" w:hAnsi="Times New Roman"/>
          <w:sz w:val="22"/>
          <w:szCs w:val="22"/>
        </w:rPr>
        <w:t>s for beam indication, but for PDSCH scheduling, DCI formats 1_1 and 1_2 can schedule PDSCHs without any new beam indication</w:t>
      </w:r>
      <w:r w:rsidR="00117514">
        <w:rPr>
          <w:rFonts w:ascii="Times New Roman" w:hAnsi="Times New Roman"/>
          <w:sz w:val="22"/>
          <w:szCs w:val="22"/>
        </w:rPr>
        <w:t xml:space="preserve"> (i.e., indicating an identical beam with previously indicated beam)</w:t>
      </w:r>
      <w:r>
        <w:rPr>
          <w:rFonts w:ascii="Times New Roman" w:hAnsi="Times New Roman"/>
          <w:sz w:val="22"/>
          <w:szCs w:val="22"/>
        </w:rPr>
        <w:t xml:space="preserve">. </w:t>
      </w:r>
      <w:r w:rsidR="008F6F8A">
        <w:rPr>
          <w:rFonts w:ascii="Times New Roman" w:hAnsi="Times New Roman"/>
          <w:sz w:val="22"/>
          <w:szCs w:val="22"/>
        </w:rPr>
        <w:t>Therefore, if DCI formats 1_1 and 1_2 indicate identical beam with previously indicated beam, the indicated beam can be applied to DL and UL without any application time.</w:t>
      </w:r>
    </w:p>
    <w:p w14:paraId="29EBB75A" w14:textId="52E5C612" w:rsidR="00967145" w:rsidRDefault="00967145" w:rsidP="00BA45EC">
      <w:pPr>
        <w:pStyle w:val="BodyText"/>
        <w:spacing w:after="60"/>
        <w:rPr>
          <w:rFonts w:ascii="Times New Roman" w:hAnsi="Times New Roman"/>
          <w:sz w:val="22"/>
          <w:szCs w:val="22"/>
        </w:rPr>
      </w:pPr>
    </w:p>
    <w:p w14:paraId="7749F6FD" w14:textId="057904B3" w:rsidR="00967145" w:rsidRPr="00B91B7E" w:rsidRDefault="00967145" w:rsidP="00967145">
      <w:pPr>
        <w:spacing w:after="0"/>
        <w:contextualSpacing/>
        <w:jc w:val="both"/>
        <w:rPr>
          <w:i/>
          <w:sz w:val="22"/>
        </w:rPr>
      </w:pPr>
      <w:r w:rsidRPr="00B91B7E">
        <w:rPr>
          <w:b/>
          <w:bCs/>
          <w:i/>
          <w:sz w:val="22"/>
        </w:rPr>
        <w:t xml:space="preserve">Observation </w:t>
      </w:r>
      <w:r>
        <w:rPr>
          <w:b/>
          <w:bCs/>
          <w:i/>
          <w:sz w:val="22"/>
        </w:rPr>
        <w:t>3</w:t>
      </w:r>
      <w:r w:rsidRPr="00B91B7E">
        <w:rPr>
          <w:b/>
          <w:bCs/>
          <w:i/>
          <w:sz w:val="22"/>
        </w:rPr>
        <w:t xml:space="preserve">: </w:t>
      </w:r>
      <w:r w:rsidR="00545161">
        <w:rPr>
          <w:i/>
          <w:sz w:val="22"/>
        </w:rPr>
        <w:t>As UE transmits PUCCH for ACK/NACK of beam indication with previously indicated beam, UE’s beam changing procedure initiates after sending the PUCCH not after decoding PDCCH which provides L1-based beam indication</w:t>
      </w:r>
      <w:r w:rsidRPr="00B91B7E">
        <w:rPr>
          <w:i/>
          <w:sz w:val="22"/>
        </w:rPr>
        <w:t>.</w:t>
      </w:r>
    </w:p>
    <w:p w14:paraId="6B954B68" w14:textId="77777777" w:rsidR="00967145" w:rsidRPr="00B91B7E" w:rsidRDefault="00967145" w:rsidP="00967145">
      <w:pPr>
        <w:spacing w:after="0"/>
        <w:contextualSpacing/>
        <w:jc w:val="both"/>
      </w:pPr>
    </w:p>
    <w:p w14:paraId="597ACC97" w14:textId="0DC008D1" w:rsidR="00967145" w:rsidRDefault="00967145" w:rsidP="00967145">
      <w:pPr>
        <w:spacing w:after="0"/>
        <w:contextualSpacing/>
        <w:jc w:val="both"/>
        <w:rPr>
          <w:bCs/>
          <w:i/>
          <w:sz w:val="22"/>
        </w:rPr>
      </w:pPr>
      <w:r w:rsidRPr="00B91B7E">
        <w:rPr>
          <w:b/>
          <w:i/>
          <w:sz w:val="22"/>
        </w:rPr>
        <w:t xml:space="preserve">Proposal </w:t>
      </w:r>
      <w:r w:rsidR="00545161">
        <w:rPr>
          <w:b/>
          <w:i/>
          <w:sz w:val="22"/>
        </w:rPr>
        <w:t>3</w:t>
      </w:r>
      <w:r w:rsidRPr="00B91B7E">
        <w:rPr>
          <w:b/>
          <w:i/>
          <w:sz w:val="22"/>
        </w:rPr>
        <w:t>:</w:t>
      </w:r>
      <w:r w:rsidRPr="00B91B7E">
        <w:rPr>
          <w:bCs/>
          <w:i/>
          <w:sz w:val="22"/>
        </w:rPr>
        <w:t xml:space="preserve"> </w:t>
      </w:r>
      <w:r w:rsidR="00545161">
        <w:rPr>
          <w:bCs/>
          <w:i/>
          <w:sz w:val="22"/>
        </w:rPr>
        <w:t xml:space="preserve">For beam application time, </w:t>
      </w:r>
      <w:r w:rsidR="00545161" w:rsidRPr="00545161">
        <w:rPr>
          <w:bCs/>
          <w:i/>
          <w:sz w:val="22"/>
        </w:rPr>
        <w:t>the first slot that is at least X ms or Y symbols after the acknowledgment of the joint or separate DL/UL beam indication</w:t>
      </w:r>
      <w:r w:rsidR="00650E6C">
        <w:rPr>
          <w:bCs/>
          <w:i/>
          <w:sz w:val="22"/>
        </w:rPr>
        <w:t xml:space="preserve"> (Alt 2</w:t>
      </w:r>
      <w:r w:rsidR="00545161">
        <w:rPr>
          <w:bCs/>
          <w:i/>
          <w:sz w:val="22"/>
        </w:rPr>
        <w:t xml:space="preserve">) </w:t>
      </w:r>
      <w:r w:rsidR="002C48CE">
        <w:rPr>
          <w:bCs/>
          <w:i/>
          <w:sz w:val="22"/>
        </w:rPr>
        <w:t>should be supported</w:t>
      </w:r>
      <w:r>
        <w:rPr>
          <w:bCs/>
          <w:i/>
          <w:sz w:val="22"/>
        </w:rPr>
        <w:t>.</w:t>
      </w:r>
    </w:p>
    <w:p w14:paraId="7E3968A7" w14:textId="7B70BF95" w:rsidR="009875FB" w:rsidRDefault="009875FB" w:rsidP="00967145">
      <w:pPr>
        <w:spacing w:after="0"/>
        <w:contextualSpacing/>
        <w:jc w:val="both"/>
        <w:rPr>
          <w:bCs/>
          <w:i/>
          <w:sz w:val="22"/>
        </w:rPr>
      </w:pPr>
    </w:p>
    <w:p w14:paraId="27700694" w14:textId="62786F1E" w:rsidR="009875FB" w:rsidRPr="00B91B7E" w:rsidRDefault="009875FB" w:rsidP="009875FB">
      <w:pPr>
        <w:spacing w:after="0"/>
        <w:contextualSpacing/>
        <w:jc w:val="both"/>
        <w:rPr>
          <w:i/>
          <w:sz w:val="22"/>
        </w:rPr>
      </w:pPr>
      <w:r w:rsidRPr="00B91B7E">
        <w:rPr>
          <w:b/>
          <w:bCs/>
          <w:i/>
          <w:sz w:val="22"/>
        </w:rPr>
        <w:t xml:space="preserve">Observation </w:t>
      </w:r>
      <w:r>
        <w:rPr>
          <w:b/>
          <w:bCs/>
          <w:i/>
          <w:sz w:val="22"/>
        </w:rPr>
        <w:t>4</w:t>
      </w:r>
      <w:r w:rsidRPr="00B91B7E">
        <w:rPr>
          <w:b/>
          <w:bCs/>
          <w:i/>
          <w:sz w:val="22"/>
        </w:rPr>
        <w:t xml:space="preserve">: </w:t>
      </w:r>
      <w:r>
        <w:rPr>
          <w:i/>
          <w:sz w:val="22"/>
        </w:rPr>
        <w:t>As DCI formats 1_1 and 1_2 are not dedicated formats for beam indication, but for PDSCH scheduling, DCI formats 1_1 and 1_2 can schedule PDSCHs without any new beam indication</w:t>
      </w:r>
      <w:r w:rsidR="00117514">
        <w:rPr>
          <w:i/>
          <w:sz w:val="22"/>
        </w:rPr>
        <w:t xml:space="preserve"> </w:t>
      </w:r>
      <w:r w:rsidR="00117514" w:rsidRPr="00117514">
        <w:rPr>
          <w:i/>
          <w:sz w:val="22"/>
        </w:rPr>
        <w:t>(i.e., indicating an identical beam with previously indicated beam)</w:t>
      </w:r>
      <w:r w:rsidRPr="00B91B7E">
        <w:rPr>
          <w:i/>
          <w:sz w:val="22"/>
        </w:rPr>
        <w:t>.</w:t>
      </w:r>
    </w:p>
    <w:p w14:paraId="2F72AD24" w14:textId="366A902C" w:rsidR="009875FB" w:rsidRDefault="009875FB" w:rsidP="00967145">
      <w:pPr>
        <w:spacing w:after="0"/>
        <w:contextualSpacing/>
        <w:jc w:val="both"/>
        <w:rPr>
          <w:bCs/>
          <w:i/>
          <w:sz w:val="22"/>
        </w:rPr>
      </w:pPr>
    </w:p>
    <w:p w14:paraId="28FAEFF8" w14:textId="04B0C5E4" w:rsidR="009875FB" w:rsidRDefault="009875FB" w:rsidP="009875FB">
      <w:pPr>
        <w:spacing w:after="0"/>
        <w:contextualSpacing/>
        <w:jc w:val="both"/>
        <w:rPr>
          <w:bCs/>
          <w:i/>
          <w:sz w:val="22"/>
        </w:rPr>
      </w:pPr>
      <w:r w:rsidRPr="00B91B7E">
        <w:rPr>
          <w:b/>
          <w:i/>
          <w:sz w:val="22"/>
        </w:rPr>
        <w:t xml:space="preserve">Proposal </w:t>
      </w:r>
      <w:r>
        <w:rPr>
          <w:b/>
          <w:i/>
          <w:sz w:val="22"/>
        </w:rPr>
        <w:t>4</w:t>
      </w:r>
      <w:r w:rsidRPr="00B91B7E">
        <w:rPr>
          <w:b/>
          <w:i/>
          <w:sz w:val="22"/>
        </w:rPr>
        <w:t>:</w:t>
      </w:r>
      <w:r w:rsidRPr="00B91B7E">
        <w:rPr>
          <w:bCs/>
          <w:i/>
          <w:sz w:val="22"/>
        </w:rPr>
        <w:t xml:space="preserve"> </w:t>
      </w:r>
      <w:r>
        <w:rPr>
          <w:bCs/>
          <w:i/>
          <w:sz w:val="22"/>
        </w:rPr>
        <w:t>If DCI formats 1_1 and 1_2 indicate identical beam with previously indicated beam, the indicated beam can be applied to DL and UL without any application time.</w:t>
      </w:r>
    </w:p>
    <w:p w14:paraId="0CA45F46" w14:textId="18E7B0B0" w:rsidR="00010AFF" w:rsidRDefault="00010AFF" w:rsidP="009875FB">
      <w:pPr>
        <w:spacing w:after="0"/>
        <w:contextualSpacing/>
        <w:jc w:val="both"/>
        <w:rPr>
          <w:bCs/>
          <w:i/>
          <w:sz w:val="22"/>
        </w:rPr>
      </w:pPr>
    </w:p>
    <w:p w14:paraId="0B720285" w14:textId="43B74F62" w:rsidR="00010AFF" w:rsidRDefault="00010AFF" w:rsidP="009875FB">
      <w:pPr>
        <w:spacing w:after="0"/>
        <w:contextualSpacing/>
        <w:jc w:val="both"/>
        <w:rPr>
          <w:bCs/>
          <w:iCs/>
          <w:sz w:val="22"/>
        </w:rPr>
      </w:pPr>
      <w:r>
        <w:rPr>
          <w:bCs/>
          <w:iCs/>
          <w:sz w:val="22"/>
        </w:rPr>
        <w:t>In RAN1#102-e, i</w:t>
      </w:r>
      <w:r w:rsidRPr="00010AFF">
        <w:rPr>
          <w:bCs/>
          <w:iCs/>
          <w:sz w:val="22"/>
        </w:rPr>
        <w:t>n addition</w:t>
      </w:r>
      <w:r>
        <w:rPr>
          <w:bCs/>
          <w:iCs/>
          <w:sz w:val="22"/>
        </w:rPr>
        <w:t xml:space="preserve"> to the definition of beam application time, </w:t>
      </w:r>
      <w:r w:rsidR="00117514">
        <w:rPr>
          <w:bCs/>
          <w:iCs/>
          <w:sz w:val="22"/>
        </w:rPr>
        <w:t xml:space="preserve">how to </w:t>
      </w:r>
      <w:r>
        <w:rPr>
          <w:bCs/>
          <w:iCs/>
          <w:sz w:val="22"/>
        </w:rPr>
        <w:t>configure beam application time and</w:t>
      </w:r>
      <w:r w:rsidR="00117514">
        <w:rPr>
          <w:bCs/>
          <w:iCs/>
          <w:sz w:val="22"/>
        </w:rPr>
        <w:t>/or</w:t>
      </w:r>
      <w:r>
        <w:rPr>
          <w:bCs/>
          <w:iCs/>
          <w:sz w:val="22"/>
        </w:rPr>
        <w:t xml:space="preserve"> define beam application were discussed as follows:</w:t>
      </w:r>
    </w:p>
    <w:p w14:paraId="5290938D" w14:textId="0F796DFB" w:rsidR="005D5DB3" w:rsidRDefault="005D5DB3" w:rsidP="009875FB">
      <w:pPr>
        <w:spacing w:after="0"/>
        <w:contextualSpacing/>
        <w:jc w:val="both"/>
        <w:rPr>
          <w:bCs/>
          <w:iCs/>
          <w:sz w:val="22"/>
        </w:rPr>
      </w:pPr>
    </w:p>
    <w:p w14:paraId="2B7C8E1B" w14:textId="77777777" w:rsidR="005D5DB3" w:rsidRPr="005D5DB3" w:rsidRDefault="005D5DB3" w:rsidP="005D5DB3">
      <w:pPr>
        <w:pStyle w:val="ListParagraph"/>
        <w:numPr>
          <w:ilvl w:val="0"/>
          <w:numId w:val="17"/>
        </w:numPr>
        <w:snapToGrid w:val="0"/>
        <w:rPr>
          <w:rFonts w:ascii="Times New Roman" w:eastAsia="Times New Roman" w:hAnsi="Times New Roman"/>
        </w:rPr>
      </w:pPr>
      <w:r w:rsidRPr="005D5DB3">
        <w:rPr>
          <w:rFonts w:ascii="Times New Roman" w:eastAsia="Times New Roman" w:hAnsi="Times New Roman"/>
        </w:rPr>
        <w:t>Alt1: The beam application time can be configured by the gNB based on UE capability</w:t>
      </w:r>
    </w:p>
    <w:p w14:paraId="64646E62" w14:textId="77777777" w:rsidR="005D5DB3" w:rsidRPr="005D5DB3" w:rsidRDefault="005D5DB3" w:rsidP="005D5DB3">
      <w:pPr>
        <w:pStyle w:val="ListParagraph"/>
        <w:numPr>
          <w:ilvl w:val="1"/>
          <w:numId w:val="17"/>
        </w:numPr>
        <w:snapToGrid w:val="0"/>
        <w:rPr>
          <w:rFonts w:ascii="Times New Roman" w:eastAsia="Times New Roman" w:hAnsi="Times New Roman"/>
        </w:rPr>
      </w:pPr>
      <w:r w:rsidRPr="005D5DB3">
        <w:rPr>
          <w:rFonts w:ascii="Times New Roman" w:eastAsia="Times New Roman" w:hAnsi="Times New Roman"/>
        </w:rPr>
        <w:t>Support a UE capability for the minimum value of beam application time</w:t>
      </w:r>
    </w:p>
    <w:p w14:paraId="7BEB97DD" w14:textId="77777777" w:rsidR="005D5DB3" w:rsidRPr="005D5DB3" w:rsidRDefault="005D5DB3" w:rsidP="005D5DB3">
      <w:pPr>
        <w:pStyle w:val="ListParagraph"/>
        <w:numPr>
          <w:ilvl w:val="1"/>
          <w:numId w:val="17"/>
        </w:numPr>
        <w:snapToGrid w:val="0"/>
        <w:rPr>
          <w:rFonts w:ascii="Times New Roman" w:eastAsia="Times New Roman" w:hAnsi="Times New Roman"/>
        </w:rPr>
      </w:pPr>
      <w:r w:rsidRPr="005D5DB3">
        <w:rPr>
          <w:rFonts w:ascii="Times New Roman" w:eastAsia="Times New Roman" w:hAnsi="Times New Roman"/>
        </w:rPr>
        <w:t xml:space="preserve">FFS: the exact minimum values of beam application time supported by UE </w:t>
      </w:r>
    </w:p>
    <w:p w14:paraId="182DF991" w14:textId="77777777" w:rsidR="005D5DB3" w:rsidRPr="005D5DB3" w:rsidRDefault="005D5DB3" w:rsidP="005D5DB3">
      <w:pPr>
        <w:pStyle w:val="ListParagraph"/>
        <w:numPr>
          <w:ilvl w:val="1"/>
          <w:numId w:val="17"/>
        </w:numPr>
        <w:snapToGrid w:val="0"/>
        <w:rPr>
          <w:rFonts w:ascii="Times New Roman" w:eastAsia="Times New Roman" w:hAnsi="Times New Roman"/>
        </w:rPr>
      </w:pPr>
      <w:r w:rsidRPr="005D5DB3">
        <w:rPr>
          <w:rFonts w:ascii="Times New Roman" w:eastAsia="Times New Roman" w:hAnsi="Times New Roman"/>
        </w:rPr>
        <w:t>FFS: whether existing UE capability can be reused as this UE capability.</w:t>
      </w:r>
    </w:p>
    <w:p w14:paraId="36CBE1F4" w14:textId="77777777" w:rsidR="005D5DB3" w:rsidRPr="005D5DB3" w:rsidRDefault="005D5DB3" w:rsidP="005D5DB3">
      <w:pPr>
        <w:pStyle w:val="ListParagraph"/>
        <w:numPr>
          <w:ilvl w:val="1"/>
          <w:numId w:val="17"/>
        </w:numPr>
        <w:snapToGrid w:val="0"/>
        <w:rPr>
          <w:rFonts w:ascii="Times New Roman" w:eastAsia="Times New Roman" w:hAnsi="Times New Roman"/>
        </w:rPr>
      </w:pPr>
      <w:r w:rsidRPr="005D5DB3">
        <w:rPr>
          <w:rFonts w:ascii="Times New Roman" w:eastAsia="Times New Roman" w:hAnsi="Times New Roman"/>
        </w:rPr>
        <w:t>FFS: whether different beam application time values are supported for uplink and downlink</w:t>
      </w:r>
    </w:p>
    <w:p w14:paraId="46A822E9" w14:textId="77777777" w:rsidR="005D5DB3" w:rsidRPr="005D5DB3" w:rsidRDefault="005D5DB3" w:rsidP="005D5DB3">
      <w:pPr>
        <w:pStyle w:val="ListParagraph"/>
        <w:numPr>
          <w:ilvl w:val="1"/>
          <w:numId w:val="17"/>
        </w:numPr>
        <w:snapToGrid w:val="0"/>
        <w:rPr>
          <w:rFonts w:ascii="Times New Roman" w:eastAsia="Times New Roman" w:hAnsi="Times New Roman"/>
        </w:rPr>
      </w:pPr>
      <w:r w:rsidRPr="005D5DB3">
        <w:rPr>
          <w:rFonts w:ascii="Times New Roman" w:eastAsia="Times New Roman" w:hAnsi="Times New Roman"/>
        </w:rPr>
        <w:t>FFS: whether UE capability needs to be introduced for the maximum value of beam application time</w:t>
      </w:r>
    </w:p>
    <w:p w14:paraId="3B50133F" w14:textId="77777777" w:rsidR="005D5DB3" w:rsidRPr="005D5DB3" w:rsidRDefault="005D5DB3" w:rsidP="005D5DB3">
      <w:pPr>
        <w:pStyle w:val="ListParagraph"/>
        <w:numPr>
          <w:ilvl w:val="0"/>
          <w:numId w:val="17"/>
        </w:numPr>
        <w:snapToGrid w:val="0"/>
        <w:rPr>
          <w:rFonts w:ascii="Times New Roman" w:eastAsia="Times New Roman" w:hAnsi="Times New Roman"/>
        </w:rPr>
      </w:pPr>
      <w:r w:rsidRPr="005D5DB3">
        <w:rPr>
          <w:rFonts w:ascii="Times New Roman" w:eastAsia="Times New Roman" w:hAnsi="Times New Roman"/>
        </w:rPr>
        <w:t>Alt2: The beam application time is fixed and defined in specification</w:t>
      </w:r>
    </w:p>
    <w:p w14:paraId="09FF201F" w14:textId="77777777" w:rsidR="005D5DB3" w:rsidRPr="005D5DB3" w:rsidRDefault="005D5DB3" w:rsidP="005D5DB3">
      <w:pPr>
        <w:pStyle w:val="ListParagraph"/>
        <w:numPr>
          <w:ilvl w:val="0"/>
          <w:numId w:val="17"/>
        </w:numPr>
        <w:snapToGrid w:val="0"/>
        <w:rPr>
          <w:rFonts w:ascii="Times New Roman" w:eastAsia="Times New Roman" w:hAnsi="Times New Roman"/>
        </w:rPr>
      </w:pPr>
      <w:r w:rsidRPr="005D5DB3">
        <w:rPr>
          <w:rFonts w:ascii="Times New Roman" w:eastAsia="Times New Roman" w:hAnsi="Times New Roman"/>
        </w:rPr>
        <w:t>Alt3: The beam application time can be configured by the gNB where the minimum value of beam application time is fixed and defined in specification</w:t>
      </w:r>
    </w:p>
    <w:p w14:paraId="1442E496" w14:textId="654809D5" w:rsidR="005D5DB3" w:rsidRDefault="005D5DB3" w:rsidP="005D5DB3">
      <w:pPr>
        <w:spacing w:after="0"/>
        <w:contextualSpacing/>
        <w:jc w:val="both"/>
        <w:rPr>
          <w:bCs/>
          <w:iCs/>
          <w:sz w:val="22"/>
        </w:rPr>
      </w:pPr>
    </w:p>
    <w:p w14:paraId="17AE2B30" w14:textId="06422E35" w:rsidR="005D5DB3" w:rsidRDefault="00DC4548" w:rsidP="005D5DB3">
      <w:pPr>
        <w:spacing w:after="0"/>
        <w:contextualSpacing/>
        <w:jc w:val="both"/>
        <w:rPr>
          <w:bCs/>
          <w:iCs/>
          <w:sz w:val="22"/>
        </w:rPr>
      </w:pPr>
      <w:r>
        <w:rPr>
          <w:bCs/>
          <w:iCs/>
          <w:sz w:val="22"/>
        </w:rPr>
        <w:t xml:space="preserve">Among the above alternatives, </w:t>
      </w:r>
      <w:r w:rsidR="00B2472E">
        <w:rPr>
          <w:bCs/>
          <w:iCs/>
          <w:sz w:val="22"/>
        </w:rPr>
        <w:t xml:space="preserve">Alt 1 considers UE implementation based on UE capability while other alternatives do not. </w:t>
      </w:r>
      <w:r w:rsidR="008F6AC6">
        <w:rPr>
          <w:bCs/>
          <w:iCs/>
          <w:sz w:val="22"/>
        </w:rPr>
        <w:t xml:space="preserve">Fixed beam application time or fixed minimum beam application time may ease gNB implementation, however, </w:t>
      </w:r>
      <w:r w:rsidR="00CD5725">
        <w:rPr>
          <w:bCs/>
          <w:iCs/>
          <w:sz w:val="22"/>
        </w:rPr>
        <w:t xml:space="preserve">UE implementation may have more variation based on </w:t>
      </w:r>
      <w:r w:rsidR="009805FD">
        <w:rPr>
          <w:bCs/>
          <w:iCs/>
          <w:sz w:val="22"/>
        </w:rPr>
        <w:t xml:space="preserve">a </w:t>
      </w:r>
      <w:r w:rsidR="00CD5725">
        <w:rPr>
          <w:bCs/>
          <w:iCs/>
          <w:sz w:val="22"/>
        </w:rPr>
        <w:t xml:space="preserve">budget. </w:t>
      </w:r>
      <w:r w:rsidR="009805FD">
        <w:rPr>
          <w:bCs/>
          <w:iCs/>
          <w:sz w:val="22"/>
        </w:rPr>
        <w:t>In that sense, in order to consider various UE implementation</w:t>
      </w:r>
      <w:r w:rsidR="00FE6FBA">
        <w:rPr>
          <w:bCs/>
          <w:iCs/>
          <w:sz w:val="22"/>
        </w:rPr>
        <w:t>s</w:t>
      </w:r>
      <w:r w:rsidR="009805FD">
        <w:rPr>
          <w:bCs/>
          <w:iCs/>
          <w:sz w:val="22"/>
        </w:rPr>
        <w:t xml:space="preserve">, it is preferred to consider UE implementation as well as gNB implementation. </w:t>
      </w:r>
    </w:p>
    <w:p w14:paraId="1BDDC32C" w14:textId="259533D8" w:rsidR="009805FD" w:rsidRDefault="009805FD" w:rsidP="005D5DB3">
      <w:pPr>
        <w:spacing w:after="0"/>
        <w:contextualSpacing/>
        <w:jc w:val="both"/>
        <w:rPr>
          <w:bCs/>
          <w:iCs/>
          <w:sz w:val="22"/>
        </w:rPr>
      </w:pPr>
    </w:p>
    <w:p w14:paraId="157AF50C" w14:textId="571C3565" w:rsidR="009805FD" w:rsidRDefault="009805FD" w:rsidP="009805FD">
      <w:pPr>
        <w:spacing w:after="0"/>
        <w:contextualSpacing/>
        <w:jc w:val="both"/>
        <w:rPr>
          <w:bCs/>
          <w:i/>
          <w:sz w:val="22"/>
        </w:rPr>
      </w:pPr>
      <w:r w:rsidRPr="00B91B7E">
        <w:rPr>
          <w:b/>
          <w:i/>
          <w:sz w:val="22"/>
        </w:rPr>
        <w:t xml:space="preserve">Proposal </w:t>
      </w:r>
      <w:r w:rsidR="00FE6FBA">
        <w:rPr>
          <w:b/>
          <w:i/>
          <w:sz w:val="22"/>
        </w:rPr>
        <w:t>5</w:t>
      </w:r>
      <w:r w:rsidRPr="00B91B7E">
        <w:rPr>
          <w:b/>
          <w:i/>
          <w:sz w:val="22"/>
        </w:rPr>
        <w:t>:</w:t>
      </w:r>
      <w:r w:rsidRPr="00B91B7E">
        <w:rPr>
          <w:bCs/>
          <w:i/>
          <w:sz w:val="22"/>
        </w:rPr>
        <w:t xml:space="preserve"> </w:t>
      </w:r>
      <w:r w:rsidR="00FE6FBA">
        <w:rPr>
          <w:bCs/>
          <w:i/>
          <w:sz w:val="22"/>
        </w:rPr>
        <w:t>In order to consider various UE implementations, it is preferred to consider UE capability by supporting a UE capability for the minimum value of beam application time (Alt 1)</w:t>
      </w:r>
      <w:r>
        <w:rPr>
          <w:bCs/>
          <w:i/>
          <w:sz w:val="22"/>
        </w:rPr>
        <w:t>.</w:t>
      </w:r>
    </w:p>
    <w:p w14:paraId="3129BB15" w14:textId="77777777" w:rsidR="009875FB" w:rsidRPr="008C450A" w:rsidRDefault="009875FB" w:rsidP="00967145">
      <w:pPr>
        <w:spacing w:after="0"/>
        <w:contextualSpacing/>
        <w:jc w:val="both"/>
        <w:rPr>
          <w:bCs/>
          <w:iCs/>
          <w:sz w:val="22"/>
          <w:u w:val="single"/>
        </w:rPr>
      </w:pPr>
    </w:p>
    <w:p w14:paraId="223BF410" w14:textId="3993BE3E" w:rsidR="00F07524" w:rsidRPr="00B91B7E" w:rsidRDefault="00F07524" w:rsidP="00006D5B">
      <w:pPr>
        <w:pStyle w:val="BodyText"/>
        <w:spacing w:after="60"/>
        <w:rPr>
          <w:rFonts w:ascii="Times New Roman" w:hAnsi="Times New Roman"/>
          <w:b/>
          <w:bCs/>
          <w:sz w:val="22"/>
          <w:szCs w:val="22"/>
          <w:u w:val="single"/>
        </w:rPr>
      </w:pPr>
      <w:r w:rsidRPr="00B91B7E">
        <w:rPr>
          <w:rFonts w:ascii="Times New Roman" w:hAnsi="Times New Roman"/>
          <w:b/>
          <w:bCs/>
          <w:sz w:val="22"/>
          <w:szCs w:val="22"/>
          <w:u w:val="single"/>
        </w:rPr>
        <w:t>Configuration of SRS for BM as a source RS to represent a DL RX spatial filter</w:t>
      </w:r>
    </w:p>
    <w:p w14:paraId="7B1EE2C4" w14:textId="77777777" w:rsidR="0005502D" w:rsidRPr="00B91B7E" w:rsidRDefault="0005502D" w:rsidP="0005502D">
      <w:pPr>
        <w:pStyle w:val="BodyText"/>
        <w:spacing w:after="60"/>
        <w:rPr>
          <w:rFonts w:ascii="Times New Roman" w:hAnsi="Times New Roman"/>
          <w:sz w:val="22"/>
          <w:szCs w:val="22"/>
        </w:rPr>
      </w:pPr>
    </w:p>
    <w:p w14:paraId="13C0D37E" w14:textId="23868812" w:rsidR="00F07524" w:rsidRPr="00B91B7E" w:rsidRDefault="00F07524" w:rsidP="00006D5B">
      <w:pPr>
        <w:pStyle w:val="BodyText"/>
        <w:spacing w:after="60"/>
        <w:ind w:firstLine="288"/>
        <w:rPr>
          <w:rFonts w:ascii="Times New Roman" w:hAnsi="Times New Roman"/>
          <w:sz w:val="22"/>
          <w:szCs w:val="22"/>
        </w:rPr>
      </w:pPr>
      <w:r w:rsidRPr="00B91B7E">
        <w:rPr>
          <w:rFonts w:ascii="Times New Roman" w:hAnsi="Times New Roman"/>
          <w:sz w:val="22"/>
          <w:szCs w:val="22"/>
        </w:rPr>
        <w:t>For the configuration of SRS as a source RS to represent a DL RS spatial filter</w:t>
      </w:r>
      <w:r w:rsidR="0005502D" w:rsidRPr="00B91B7E">
        <w:rPr>
          <w:rFonts w:ascii="Times New Roman" w:hAnsi="Times New Roman"/>
          <w:sz w:val="22"/>
          <w:szCs w:val="22"/>
        </w:rPr>
        <w:t>, RAN1</w:t>
      </w:r>
      <w:r w:rsidRPr="00B91B7E">
        <w:rPr>
          <w:rFonts w:ascii="Times New Roman" w:hAnsi="Times New Roman"/>
          <w:sz w:val="22"/>
          <w:szCs w:val="22"/>
        </w:rPr>
        <w:t xml:space="preserve"> should consider following aspects:</w:t>
      </w:r>
    </w:p>
    <w:p w14:paraId="28CC8AE5" w14:textId="0EC0C135" w:rsidR="00816783" w:rsidRPr="00B91B7E" w:rsidRDefault="00816783"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Beam Correspondence</w:t>
      </w:r>
    </w:p>
    <w:p w14:paraId="49F94E3B" w14:textId="6A6D3432" w:rsidR="00816783" w:rsidRPr="00B91B7E" w:rsidRDefault="00816783" w:rsidP="00E648D7">
      <w:pPr>
        <w:pStyle w:val="BodyText"/>
        <w:numPr>
          <w:ilvl w:val="1"/>
          <w:numId w:val="10"/>
        </w:numPr>
        <w:spacing w:after="60"/>
        <w:rPr>
          <w:rFonts w:ascii="Times New Roman" w:hAnsi="Times New Roman"/>
          <w:sz w:val="22"/>
          <w:szCs w:val="22"/>
        </w:rPr>
      </w:pPr>
      <w:r w:rsidRPr="00B91B7E">
        <w:rPr>
          <w:rFonts w:ascii="Times New Roman" w:hAnsi="Times New Roman"/>
          <w:sz w:val="22"/>
          <w:szCs w:val="22"/>
        </w:rPr>
        <w:lastRenderedPageBreak/>
        <w:t>Since Rel-15, beam correspondence has been a mandatory UE capability for FR2 where its type of support, i.e., with or without network assistance is indicated through UE capability signaling. Meaning that, for FR2, beam correspondence is an essential feature that all UEs need to support for beam management operation. Based on this understanding, there’s no reason not to utilize existing channel information based on beam correspondence.</w:t>
      </w:r>
    </w:p>
    <w:p w14:paraId="7C3AFB81" w14:textId="77777777" w:rsidR="00816783" w:rsidRPr="00B91B7E" w:rsidRDefault="00816783"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Signaling overhead</w:t>
      </w:r>
    </w:p>
    <w:p w14:paraId="7DCF8E67" w14:textId="35066FBF" w:rsidR="00816783" w:rsidRPr="00B91B7E" w:rsidRDefault="00816783" w:rsidP="00E648D7">
      <w:pPr>
        <w:pStyle w:val="BodyText"/>
        <w:numPr>
          <w:ilvl w:val="1"/>
          <w:numId w:val="10"/>
        </w:numPr>
        <w:spacing w:after="60"/>
        <w:rPr>
          <w:rFonts w:ascii="Times New Roman" w:hAnsi="Times New Roman"/>
          <w:sz w:val="22"/>
          <w:szCs w:val="22"/>
        </w:rPr>
      </w:pPr>
      <w:r w:rsidRPr="00B91B7E">
        <w:rPr>
          <w:rFonts w:ascii="Times New Roman" w:hAnsi="Times New Roman"/>
          <w:sz w:val="22"/>
          <w:szCs w:val="22"/>
        </w:rPr>
        <w:t xml:space="preserve">For Rel-15 DL TCI state indication, a gNB needs to allocate CSI-RS resources for TCI state indication </w:t>
      </w:r>
      <w:r w:rsidR="003E4241">
        <w:rPr>
          <w:rFonts w:ascii="Times New Roman" w:hAnsi="Times New Roman"/>
          <w:sz w:val="22"/>
          <w:szCs w:val="22"/>
        </w:rPr>
        <w:t xml:space="preserve">even </w:t>
      </w:r>
      <w:proofErr w:type="spellStart"/>
      <w:r w:rsidR="00B51258">
        <w:rPr>
          <w:rFonts w:ascii="Times New Roman" w:hAnsi="Times New Roman"/>
          <w:sz w:val="22"/>
          <w:szCs w:val="22"/>
        </w:rPr>
        <w:t>if</w:t>
      </w:r>
      <w:r w:rsidRPr="00B91B7E">
        <w:rPr>
          <w:rFonts w:ascii="Times New Roman" w:hAnsi="Times New Roman"/>
          <w:sz w:val="22"/>
          <w:szCs w:val="22"/>
        </w:rPr>
        <w:t>the</w:t>
      </w:r>
      <w:proofErr w:type="spellEnd"/>
      <w:r w:rsidRPr="00B91B7E">
        <w:rPr>
          <w:rFonts w:ascii="Times New Roman" w:hAnsi="Times New Roman"/>
          <w:sz w:val="22"/>
          <w:szCs w:val="22"/>
        </w:rPr>
        <w:t xml:space="preserve"> gNB </w:t>
      </w:r>
      <w:proofErr w:type="spellStart"/>
      <w:r w:rsidR="00B51258">
        <w:rPr>
          <w:rFonts w:ascii="Times New Roman" w:hAnsi="Times New Roman"/>
          <w:sz w:val="22"/>
          <w:szCs w:val="22"/>
        </w:rPr>
        <w:t>is</w:t>
      </w:r>
      <w:r w:rsidRPr="00B91B7E">
        <w:rPr>
          <w:rFonts w:ascii="Times New Roman" w:hAnsi="Times New Roman"/>
          <w:sz w:val="22"/>
          <w:szCs w:val="22"/>
        </w:rPr>
        <w:t>already</w:t>
      </w:r>
      <w:proofErr w:type="spellEnd"/>
      <w:r w:rsidRPr="00B91B7E">
        <w:rPr>
          <w:rFonts w:ascii="Times New Roman" w:hAnsi="Times New Roman"/>
          <w:sz w:val="22"/>
          <w:szCs w:val="22"/>
        </w:rPr>
        <w:t xml:space="preserve"> aware of channel information based on SRS transmissions. Such CSI-RS transmission induces large signaling overhead considering maximum 64 DL beams and should be minimized by utilizing existing information</w:t>
      </w:r>
    </w:p>
    <w:p w14:paraId="1E970014" w14:textId="77777777" w:rsidR="00816783" w:rsidRPr="00B91B7E" w:rsidRDefault="00816783"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 xml:space="preserve">More accurate beam information </w:t>
      </w:r>
    </w:p>
    <w:p w14:paraId="21EAC015" w14:textId="52F9C854" w:rsidR="00816783" w:rsidRPr="00B91B7E" w:rsidRDefault="00486C90" w:rsidP="00E648D7">
      <w:pPr>
        <w:pStyle w:val="BodyText"/>
        <w:numPr>
          <w:ilvl w:val="1"/>
          <w:numId w:val="10"/>
        </w:numPr>
        <w:spacing w:after="60"/>
        <w:rPr>
          <w:rFonts w:ascii="Times New Roman" w:hAnsi="Times New Roman"/>
          <w:sz w:val="22"/>
          <w:szCs w:val="22"/>
        </w:rPr>
      </w:pPr>
      <w:r>
        <w:rPr>
          <w:rFonts w:ascii="Times New Roman" w:hAnsi="Times New Roman"/>
          <w:sz w:val="22"/>
          <w:szCs w:val="22"/>
        </w:rPr>
        <w:t>A UE</w:t>
      </w:r>
      <w:r w:rsidRPr="00B91B7E">
        <w:rPr>
          <w:rFonts w:ascii="Times New Roman" w:hAnsi="Times New Roman"/>
          <w:sz w:val="22"/>
          <w:szCs w:val="22"/>
        </w:rPr>
        <w:t xml:space="preserve"> </w:t>
      </w:r>
      <w:r w:rsidR="00816783" w:rsidRPr="00B91B7E">
        <w:rPr>
          <w:rFonts w:ascii="Times New Roman" w:hAnsi="Times New Roman"/>
          <w:sz w:val="22"/>
          <w:szCs w:val="22"/>
        </w:rPr>
        <w:t>in FR2 may experience beam change due to UE mobility and dynamic blockage and latest information can help better utilization of transmission beam. For example, if SRS transmission is</w:t>
      </w:r>
      <w:r>
        <w:rPr>
          <w:rFonts w:ascii="Times New Roman" w:hAnsi="Times New Roman"/>
          <w:sz w:val="22"/>
          <w:szCs w:val="22"/>
        </w:rPr>
        <w:t xml:space="preserve"> a</w:t>
      </w:r>
      <w:r w:rsidR="00816783" w:rsidRPr="00B91B7E">
        <w:rPr>
          <w:rFonts w:ascii="Times New Roman" w:hAnsi="Times New Roman"/>
          <w:sz w:val="22"/>
          <w:szCs w:val="22"/>
        </w:rPr>
        <w:t xml:space="preserve"> more recent RS transmission than CSI-RS, it may provide better information and corresponding performance benefits. </w:t>
      </w:r>
    </w:p>
    <w:p w14:paraId="6428E86F" w14:textId="47C5EE67" w:rsidR="00670DD2" w:rsidRPr="00B91B7E" w:rsidRDefault="00670DD2" w:rsidP="00670DD2">
      <w:pPr>
        <w:pStyle w:val="BodyText"/>
        <w:spacing w:after="60"/>
        <w:rPr>
          <w:rFonts w:ascii="Times New Roman" w:hAnsi="Times New Roman"/>
          <w:sz w:val="22"/>
          <w:szCs w:val="22"/>
        </w:rPr>
      </w:pPr>
    </w:p>
    <w:p w14:paraId="40A385FD" w14:textId="00747AEB" w:rsidR="00816783" w:rsidRPr="00B91B7E" w:rsidRDefault="00816783" w:rsidP="00816783">
      <w:pPr>
        <w:spacing w:after="0"/>
        <w:contextualSpacing/>
        <w:jc w:val="both"/>
        <w:rPr>
          <w:i/>
          <w:sz w:val="22"/>
        </w:rPr>
      </w:pPr>
      <w:r w:rsidRPr="00B91B7E">
        <w:rPr>
          <w:b/>
          <w:bCs/>
          <w:i/>
          <w:sz w:val="22"/>
        </w:rPr>
        <w:t xml:space="preserve">Observation </w:t>
      </w:r>
      <w:r w:rsidR="003D2F60">
        <w:rPr>
          <w:b/>
          <w:bCs/>
          <w:i/>
          <w:sz w:val="22"/>
        </w:rPr>
        <w:t>5</w:t>
      </w:r>
      <w:r w:rsidRPr="00B91B7E">
        <w:rPr>
          <w:b/>
          <w:bCs/>
          <w:i/>
          <w:sz w:val="22"/>
        </w:rPr>
        <w:t xml:space="preserve">: </w:t>
      </w:r>
      <w:r w:rsidRPr="00B91B7E">
        <w:rPr>
          <w:i/>
          <w:sz w:val="22"/>
        </w:rPr>
        <w:t xml:space="preserve">Introduction of </w:t>
      </w:r>
      <w:r w:rsidR="00F07524" w:rsidRPr="00B91B7E">
        <w:rPr>
          <w:i/>
          <w:sz w:val="22"/>
        </w:rPr>
        <w:t>S</w:t>
      </w:r>
      <w:r w:rsidRPr="00B91B7E">
        <w:rPr>
          <w:i/>
          <w:sz w:val="22"/>
        </w:rPr>
        <w:t>RS in DL TCI state provide</w:t>
      </w:r>
      <w:r w:rsidR="00B35DF7">
        <w:rPr>
          <w:i/>
          <w:sz w:val="22"/>
        </w:rPr>
        <w:t>s</w:t>
      </w:r>
      <w:r w:rsidRPr="00B91B7E">
        <w:rPr>
          <w:i/>
          <w:sz w:val="22"/>
        </w:rPr>
        <w:t xml:space="preserve"> performance benefits based on beam correspondence, less </w:t>
      </w:r>
      <w:r w:rsidR="005941B3" w:rsidRPr="00B91B7E">
        <w:rPr>
          <w:i/>
          <w:sz w:val="22"/>
        </w:rPr>
        <w:t>signaling</w:t>
      </w:r>
      <w:r w:rsidRPr="00B91B7E">
        <w:rPr>
          <w:i/>
          <w:sz w:val="22"/>
        </w:rPr>
        <w:t xml:space="preserve"> overhead and more accurate beam information.</w:t>
      </w:r>
    </w:p>
    <w:p w14:paraId="684EBA87" w14:textId="77777777" w:rsidR="00816783" w:rsidRPr="00B91B7E" w:rsidRDefault="00816783" w:rsidP="00816783">
      <w:pPr>
        <w:spacing w:after="0"/>
        <w:contextualSpacing/>
        <w:jc w:val="both"/>
      </w:pPr>
    </w:p>
    <w:p w14:paraId="2F56C561" w14:textId="203319BA" w:rsidR="00816783" w:rsidRPr="00B91B7E" w:rsidRDefault="00816783" w:rsidP="00816783">
      <w:pPr>
        <w:spacing w:after="0"/>
        <w:contextualSpacing/>
        <w:jc w:val="both"/>
        <w:rPr>
          <w:bCs/>
          <w:i/>
          <w:sz w:val="22"/>
        </w:rPr>
      </w:pPr>
      <w:r w:rsidRPr="00B91B7E">
        <w:rPr>
          <w:b/>
          <w:i/>
          <w:sz w:val="22"/>
        </w:rPr>
        <w:t xml:space="preserve">Proposal </w:t>
      </w:r>
      <w:r w:rsidR="000D713B">
        <w:rPr>
          <w:b/>
          <w:i/>
          <w:sz w:val="22"/>
        </w:rPr>
        <w:t>6</w:t>
      </w:r>
      <w:r w:rsidRPr="00B91B7E">
        <w:rPr>
          <w:b/>
          <w:i/>
          <w:sz w:val="22"/>
        </w:rPr>
        <w:t>:</w:t>
      </w:r>
      <w:r w:rsidRPr="00B91B7E">
        <w:rPr>
          <w:bCs/>
          <w:i/>
          <w:sz w:val="22"/>
        </w:rPr>
        <w:t xml:space="preserve"> DL TCI state based on </w:t>
      </w:r>
      <w:r w:rsidR="00F07524" w:rsidRPr="00B91B7E">
        <w:rPr>
          <w:bCs/>
          <w:i/>
          <w:sz w:val="22"/>
        </w:rPr>
        <w:t>S</w:t>
      </w:r>
      <w:r w:rsidRPr="00B91B7E">
        <w:rPr>
          <w:bCs/>
          <w:i/>
          <w:sz w:val="22"/>
        </w:rPr>
        <w:t xml:space="preserve">RS </w:t>
      </w:r>
      <w:r w:rsidR="00F07524" w:rsidRPr="00B91B7E">
        <w:rPr>
          <w:bCs/>
          <w:i/>
          <w:sz w:val="22"/>
        </w:rPr>
        <w:t>for beam measurement</w:t>
      </w:r>
      <w:r w:rsidRPr="00B91B7E">
        <w:rPr>
          <w:bCs/>
          <w:i/>
          <w:sz w:val="22"/>
        </w:rPr>
        <w:t xml:space="preserve"> should be supported.</w:t>
      </w:r>
    </w:p>
    <w:p w14:paraId="0F57C22F" w14:textId="34C1339B" w:rsidR="00816783" w:rsidRPr="00B91B7E" w:rsidRDefault="00816783" w:rsidP="00670DD2">
      <w:pPr>
        <w:pStyle w:val="BodyText"/>
        <w:spacing w:after="60"/>
        <w:rPr>
          <w:rFonts w:ascii="Times New Roman" w:hAnsi="Times New Roman"/>
          <w:sz w:val="22"/>
          <w:szCs w:val="22"/>
          <w:lang w:val="en-GB"/>
        </w:rPr>
      </w:pPr>
    </w:p>
    <w:p w14:paraId="3812A3FC" w14:textId="77777777" w:rsidR="00F07524" w:rsidRPr="00B91B7E" w:rsidRDefault="00F07524" w:rsidP="00006D5B">
      <w:pPr>
        <w:pStyle w:val="BodyText"/>
        <w:spacing w:after="60"/>
        <w:rPr>
          <w:rFonts w:ascii="Times New Roman" w:hAnsi="Times New Roman"/>
          <w:b/>
          <w:bCs/>
          <w:sz w:val="22"/>
          <w:szCs w:val="22"/>
          <w:u w:val="single"/>
        </w:rPr>
      </w:pPr>
      <w:r w:rsidRPr="00B91B7E">
        <w:rPr>
          <w:rFonts w:ascii="Times New Roman" w:hAnsi="Times New Roman"/>
          <w:b/>
          <w:bCs/>
          <w:sz w:val="22"/>
          <w:szCs w:val="22"/>
          <w:u w:val="single"/>
        </w:rPr>
        <w:t>Parameters to be included in the joint TCI state</w:t>
      </w:r>
    </w:p>
    <w:p w14:paraId="1C1317D8" w14:textId="77777777" w:rsidR="0005502D" w:rsidRPr="00B91B7E" w:rsidRDefault="0005502D" w:rsidP="0005502D">
      <w:pPr>
        <w:pStyle w:val="BodyText"/>
        <w:spacing w:after="60"/>
        <w:rPr>
          <w:rFonts w:ascii="Times New Roman" w:hAnsi="Times New Roman"/>
          <w:sz w:val="22"/>
          <w:szCs w:val="22"/>
        </w:rPr>
      </w:pPr>
    </w:p>
    <w:p w14:paraId="049B8C38" w14:textId="0EA99DB0" w:rsidR="00454D06" w:rsidRPr="00B91B7E" w:rsidRDefault="00454D06" w:rsidP="00006D5B">
      <w:pPr>
        <w:pStyle w:val="BodyText"/>
        <w:spacing w:after="60"/>
        <w:ind w:firstLine="288"/>
        <w:rPr>
          <w:rFonts w:ascii="Times New Roman" w:hAnsi="Times New Roman"/>
          <w:sz w:val="22"/>
          <w:szCs w:val="22"/>
        </w:rPr>
      </w:pPr>
      <w:r w:rsidRPr="00B91B7E">
        <w:rPr>
          <w:rFonts w:ascii="Times New Roman" w:hAnsi="Times New Roman"/>
          <w:sz w:val="22"/>
          <w:szCs w:val="22"/>
        </w:rPr>
        <w:t xml:space="preserve">Rel-15 UL beam indication mechanism allows beam specific UL transmit power control mechanism based on associations between an SRS resource and a set of UL power control parameters. The beam specific UL transmit power control allows </w:t>
      </w:r>
      <w:r w:rsidR="00D910E6" w:rsidRPr="00B91B7E">
        <w:rPr>
          <w:rFonts w:ascii="Times New Roman" w:hAnsi="Times New Roman"/>
          <w:sz w:val="22"/>
          <w:szCs w:val="22"/>
        </w:rPr>
        <w:t xml:space="preserve">beam-specific </w:t>
      </w:r>
      <w:r w:rsidRPr="00B91B7E">
        <w:rPr>
          <w:rFonts w:ascii="Times New Roman" w:hAnsi="Times New Roman"/>
          <w:sz w:val="22"/>
          <w:szCs w:val="22"/>
        </w:rPr>
        <w:t xml:space="preserve">power allocation </w:t>
      </w:r>
      <w:r w:rsidR="00D910E6" w:rsidRPr="00B91B7E">
        <w:rPr>
          <w:rFonts w:ascii="Times New Roman" w:hAnsi="Times New Roman"/>
          <w:sz w:val="22"/>
          <w:szCs w:val="22"/>
        </w:rPr>
        <w:t>by measuring dedicated pathloss RS and applying dedicated parameters. The benefits of beam-specific power control should be maintained in joint TCI and</w:t>
      </w:r>
      <w:r w:rsidRPr="00B91B7E">
        <w:rPr>
          <w:rFonts w:ascii="Times New Roman" w:hAnsi="Times New Roman"/>
          <w:sz w:val="22"/>
          <w:szCs w:val="22"/>
        </w:rPr>
        <w:t xml:space="preserve"> at least following UL power control parameters should be considered:</w:t>
      </w:r>
    </w:p>
    <w:p w14:paraId="7EEC5DA7" w14:textId="72A20C7B" w:rsidR="00732E71" w:rsidRPr="00B91B7E" w:rsidRDefault="00732E71"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Pathloss RS</w:t>
      </w:r>
    </w:p>
    <w:p w14:paraId="4DC5C81D" w14:textId="5F765142" w:rsidR="00732E71" w:rsidRPr="00B91B7E" w:rsidRDefault="00454D06"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P0 and a</w:t>
      </w:r>
      <w:r w:rsidR="00732E71" w:rsidRPr="00B91B7E">
        <w:rPr>
          <w:rFonts w:ascii="Times New Roman" w:hAnsi="Times New Roman"/>
          <w:sz w:val="22"/>
          <w:szCs w:val="22"/>
        </w:rPr>
        <w:t>lpha set</w:t>
      </w:r>
    </w:p>
    <w:p w14:paraId="105803D0" w14:textId="772262CF" w:rsidR="00732E71" w:rsidRPr="00B91B7E" w:rsidRDefault="00732E71"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Closed-loop index</w:t>
      </w:r>
      <w:r w:rsidR="00EF3528" w:rsidRPr="00B91B7E">
        <w:rPr>
          <w:rFonts w:ascii="Times New Roman" w:hAnsi="Times New Roman"/>
          <w:sz w:val="22"/>
          <w:szCs w:val="22"/>
        </w:rPr>
        <w:t>.</w:t>
      </w:r>
    </w:p>
    <w:p w14:paraId="581AA068" w14:textId="53426EF6" w:rsidR="00F07524" w:rsidRPr="00B91B7E" w:rsidRDefault="00F07524" w:rsidP="00670DD2">
      <w:pPr>
        <w:pStyle w:val="BodyText"/>
        <w:spacing w:after="60"/>
        <w:rPr>
          <w:rFonts w:ascii="Times New Roman" w:hAnsi="Times New Roman"/>
          <w:sz w:val="22"/>
          <w:szCs w:val="22"/>
        </w:rPr>
      </w:pPr>
    </w:p>
    <w:p w14:paraId="4615E3BD" w14:textId="26FB087E" w:rsidR="00D910E6" w:rsidRPr="00B91B7E" w:rsidRDefault="00D910E6" w:rsidP="00D910E6">
      <w:pPr>
        <w:spacing w:after="0"/>
        <w:contextualSpacing/>
        <w:jc w:val="both"/>
        <w:rPr>
          <w:i/>
          <w:sz w:val="22"/>
        </w:rPr>
      </w:pPr>
      <w:r w:rsidRPr="00B91B7E">
        <w:rPr>
          <w:b/>
          <w:bCs/>
          <w:i/>
          <w:sz w:val="22"/>
        </w:rPr>
        <w:t xml:space="preserve">Observation </w:t>
      </w:r>
      <w:r w:rsidR="000D713B">
        <w:rPr>
          <w:b/>
          <w:bCs/>
          <w:i/>
          <w:sz w:val="22"/>
        </w:rPr>
        <w:t>6</w:t>
      </w:r>
      <w:r w:rsidRPr="00B91B7E">
        <w:rPr>
          <w:b/>
          <w:bCs/>
          <w:i/>
          <w:sz w:val="22"/>
        </w:rPr>
        <w:t xml:space="preserve">: </w:t>
      </w:r>
      <w:r w:rsidRPr="00B91B7E">
        <w:rPr>
          <w:i/>
          <w:sz w:val="22"/>
        </w:rPr>
        <w:t>Rel-15 UL power control mechanism allows beam-specific power controls by having a set of power control parameters associated with an SRI.</w:t>
      </w:r>
    </w:p>
    <w:p w14:paraId="50CEB6D4" w14:textId="77777777" w:rsidR="00D910E6" w:rsidRPr="00B91B7E" w:rsidRDefault="00D910E6" w:rsidP="00D910E6">
      <w:pPr>
        <w:spacing w:after="0"/>
        <w:contextualSpacing/>
        <w:jc w:val="both"/>
      </w:pPr>
    </w:p>
    <w:p w14:paraId="2548D5CF" w14:textId="0DD9EFFC" w:rsidR="00D910E6" w:rsidRPr="00B91B7E" w:rsidRDefault="00D910E6" w:rsidP="00D910E6">
      <w:pPr>
        <w:spacing w:after="0"/>
        <w:contextualSpacing/>
        <w:jc w:val="both"/>
        <w:rPr>
          <w:bCs/>
          <w:i/>
          <w:sz w:val="22"/>
        </w:rPr>
      </w:pPr>
      <w:r w:rsidRPr="00B91B7E">
        <w:rPr>
          <w:b/>
          <w:i/>
          <w:sz w:val="22"/>
        </w:rPr>
        <w:t xml:space="preserve">Proposal </w:t>
      </w:r>
      <w:r w:rsidR="000D713B">
        <w:rPr>
          <w:b/>
          <w:i/>
          <w:sz w:val="22"/>
        </w:rPr>
        <w:t>7</w:t>
      </w:r>
      <w:r w:rsidRPr="00B91B7E">
        <w:rPr>
          <w:b/>
          <w:i/>
          <w:sz w:val="22"/>
        </w:rPr>
        <w:t>:</w:t>
      </w:r>
      <w:r w:rsidRPr="00B91B7E">
        <w:rPr>
          <w:bCs/>
          <w:i/>
          <w:sz w:val="22"/>
        </w:rPr>
        <w:t xml:space="preserve"> At least </w:t>
      </w:r>
      <w:r w:rsidR="00A71CC0" w:rsidRPr="00B91B7E">
        <w:rPr>
          <w:bCs/>
          <w:i/>
          <w:sz w:val="22"/>
        </w:rPr>
        <w:t xml:space="preserve">pathloss RS, P0/alpha set and closed-loop index should be </w:t>
      </w:r>
      <w:r w:rsidR="00AA11C7">
        <w:rPr>
          <w:bCs/>
          <w:i/>
          <w:sz w:val="22"/>
        </w:rPr>
        <w:t>supported as a component of</w:t>
      </w:r>
      <w:r w:rsidR="00A71CC0" w:rsidRPr="00B91B7E">
        <w:rPr>
          <w:bCs/>
          <w:i/>
          <w:sz w:val="22"/>
        </w:rPr>
        <w:t xml:space="preserve"> joint TCI. </w:t>
      </w:r>
    </w:p>
    <w:p w14:paraId="36A7C0FD" w14:textId="0D699E30" w:rsidR="00F07524" w:rsidRPr="00B91B7E" w:rsidRDefault="00F07524" w:rsidP="00670DD2">
      <w:pPr>
        <w:pStyle w:val="BodyText"/>
        <w:spacing w:after="60"/>
        <w:rPr>
          <w:rFonts w:ascii="Times New Roman" w:hAnsi="Times New Roman"/>
          <w:i/>
          <w:iCs/>
          <w:sz w:val="22"/>
          <w:szCs w:val="22"/>
        </w:rPr>
      </w:pPr>
    </w:p>
    <w:p w14:paraId="26EA04EE" w14:textId="4CFFA309" w:rsidR="00BB3AEC" w:rsidRPr="00B91B7E" w:rsidRDefault="00C3745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L1/L2-centric inter-cell mobility</w:t>
      </w:r>
    </w:p>
    <w:p w14:paraId="6A1A359F" w14:textId="40526233" w:rsidR="00624CF1" w:rsidRPr="00B91B7E" w:rsidRDefault="00F24EE9" w:rsidP="00DD62D5">
      <w:pPr>
        <w:pStyle w:val="BodyText"/>
        <w:spacing w:after="60"/>
        <w:ind w:firstLine="288"/>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RAN1#103-e [1], use cases and enhancement scopes are agreed for L1/L2-centric inter-cell mobility. </w:t>
      </w:r>
      <w:r w:rsidR="00740137" w:rsidRPr="00B91B7E">
        <w:rPr>
          <w:rFonts w:ascii="Times New Roman" w:eastAsiaTheme="minorEastAsia" w:hAnsi="Times New Roman"/>
          <w:sz w:val="22"/>
          <w:szCs w:val="22"/>
          <w:lang w:eastAsia="zh-CN"/>
        </w:rPr>
        <w:t xml:space="preserve">Based on the </w:t>
      </w:r>
      <w:r>
        <w:rPr>
          <w:rFonts w:ascii="Times New Roman" w:eastAsiaTheme="minorEastAsia" w:hAnsi="Times New Roman"/>
          <w:sz w:val="22"/>
          <w:szCs w:val="22"/>
          <w:lang w:eastAsia="zh-CN"/>
        </w:rPr>
        <w:t>agreed use cases and the scopes</w:t>
      </w:r>
      <w:r w:rsidR="00740137" w:rsidRPr="00B91B7E">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we discuss further details </w:t>
      </w:r>
      <w:r w:rsidR="007604D1">
        <w:rPr>
          <w:rFonts w:ascii="Times New Roman" w:eastAsiaTheme="minorEastAsia" w:hAnsi="Times New Roman"/>
          <w:sz w:val="22"/>
          <w:szCs w:val="22"/>
          <w:lang w:eastAsia="zh-CN"/>
        </w:rPr>
        <w:t xml:space="preserve">on L1/L2-centric inter-cell mobility </w:t>
      </w:r>
      <w:r>
        <w:rPr>
          <w:rFonts w:ascii="Times New Roman" w:eastAsiaTheme="minorEastAsia" w:hAnsi="Times New Roman"/>
          <w:sz w:val="22"/>
          <w:szCs w:val="22"/>
          <w:lang w:eastAsia="zh-CN"/>
        </w:rPr>
        <w:t xml:space="preserve">in this section. </w:t>
      </w:r>
    </w:p>
    <w:p w14:paraId="430A35E7" w14:textId="3BF7D604" w:rsidR="003975E6" w:rsidRPr="00B91B7E" w:rsidRDefault="003975E6" w:rsidP="00DD62D5">
      <w:pPr>
        <w:pStyle w:val="BodyText"/>
        <w:spacing w:after="60"/>
        <w:ind w:firstLine="288"/>
        <w:rPr>
          <w:rFonts w:ascii="Times New Roman" w:eastAsiaTheme="minorEastAsia" w:hAnsi="Times New Roman"/>
          <w:sz w:val="22"/>
          <w:szCs w:val="22"/>
          <w:lang w:eastAsia="zh-CN"/>
        </w:rPr>
      </w:pPr>
    </w:p>
    <w:p w14:paraId="4021640B" w14:textId="04289F5B" w:rsidR="00740137" w:rsidRPr="00B91B7E" w:rsidRDefault="00740137" w:rsidP="00006D5B">
      <w:pPr>
        <w:pStyle w:val="BodyText"/>
        <w:spacing w:afterLines="60" w:after="144"/>
        <w:rPr>
          <w:rFonts w:ascii="Times New Roman" w:eastAsiaTheme="minorEastAsia" w:hAnsi="Times New Roman"/>
          <w:b/>
          <w:bCs/>
          <w:sz w:val="22"/>
          <w:szCs w:val="22"/>
          <w:u w:val="single"/>
          <w:lang w:eastAsia="zh-CN"/>
        </w:rPr>
      </w:pPr>
      <w:r w:rsidRPr="00B91B7E">
        <w:rPr>
          <w:rFonts w:ascii="Times New Roman" w:eastAsiaTheme="minorEastAsia" w:hAnsi="Times New Roman"/>
          <w:b/>
          <w:bCs/>
          <w:sz w:val="22"/>
          <w:szCs w:val="22"/>
          <w:u w:val="single"/>
          <w:lang w:eastAsia="zh-CN"/>
        </w:rPr>
        <w:t xml:space="preserve">Beam measurement </w:t>
      </w:r>
    </w:p>
    <w:p w14:paraId="257618B6" w14:textId="2EFAD90C" w:rsidR="00281847" w:rsidRPr="00B91B7E" w:rsidRDefault="00DB1901" w:rsidP="003975E6">
      <w:pPr>
        <w:pStyle w:val="BodyText"/>
        <w:spacing w:after="60"/>
        <w:ind w:firstLine="288"/>
        <w:rPr>
          <w:rFonts w:ascii="Times New Roman" w:hAnsi="Times New Roman"/>
          <w:sz w:val="22"/>
          <w:szCs w:val="22"/>
        </w:rPr>
      </w:pPr>
      <w:r w:rsidRPr="00B91B7E">
        <w:rPr>
          <w:rFonts w:ascii="Times New Roman" w:hAnsi="Times New Roman"/>
          <w:sz w:val="22"/>
          <w:szCs w:val="22"/>
        </w:rPr>
        <w:t>B</w:t>
      </w:r>
      <w:r w:rsidR="00281847" w:rsidRPr="00B91B7E">
        <w:rPr>
          <w:rFonts w:ascii="Times New Roman" w:hAnsi="Times New Roman"/>
          <w:sz w:val="22"/>
          <w:szCs w:val="22"/>
        </w:rPr>
        <w:t xml:space="preserve">eam measurement of reference signals from other cells </w:t>
      </w:r>
      <w:r w:rsidRPr="00B91B7E">
        <w:rPr>
          <w:rFonts w:ascii="Times New Roman" w:hAnsi="Times New Roman"/>
          <w:sz w:val="22"/>
          <w:szCs w:val="22"/>
        </w:rPr>
        <w:t>is a basis to determine optimized beam for inter-cell operation</w:t>
      </w:r>
      <w:r w:rsidR="00281847" w:rsidRPr="00B91B7E">
        <w:rPr>
          <w:rFonts w:ascii="Times New Roman" w:hAnsi="Times New Roman"/>
          <w:sz w:val="22"/>
          <w:szCs w:val="22"/>
        </w:rPr>
        <w:t>.</w:t>
      </w:r>
      <w:r w:rsidR="00F06C83" w:rsidRPr="00B91B7E">
        <w:rPr>
          <w:rFonts w:ascii="Times New Roman" w:hAnsi="Times New Roman"/>
          <w:sz w:val="22"/>
          <w:szCs w:val="22"/>
        </w:rPr>
        <w:t xml:space="preserve"> </w:t>
      </w:r>
      <w:r w:rsidR="0083099E" w:rsidRPr="00B91B7E">
        <w:rPr>
          <w:rFonts w:ascii="Times New Roman" w:hAnsi="Times New Roman"/>
          <w:sz w:val="22"/>
          <w:szCs w:val="22"/>
        </w:rPr>
        <w:t xml:space="preserve">While other reference signals </w:t>
      </w:r>
      <w:r w:rsidRPr="00B91B7E">
        <w:rPr>
          <w:rFonts w:ascii="Times New Roman" w:hAnsi="Times New Roman"/>
          <w:sz w:val="22"/>
          <w:szCs w:val="22"/>
        </w:rPr>
        <w:t>(e.g., CSI-RS or SRS) can be</w:t>
      </w:r>
      <w:r w:rsidR="0083099E" w:rsidRPr="00B91B7E">
        <w:rPr>
          <w:rFonts w:ascii="Times New Roman" w:hAnsi="Times New Roman"/>
          <w:sz w:val="22"/>
          <w:szCs w:val="22"/>
        </w:rPr>
        <w:t xml:space="preserve"> </w:t>
      </w:r>
      <w:r w:rsidRPr="00B91B7E">
        <w:rPr>
          <w:rFonts w:ascii="Times New Roman" w:hAnsi="Times New Roman"/>
          <w:sz w:val="22"/>
          <w:szCs w:val="22"/>
        </w:rPr>
        <w:t>utilized</w:t>
      </w:r>
      <w:r w:rsidR="0083099E" w:rsidRPr="00B91B7E">
        <w:rPr>
          <w:rFonts w:ascii="Times New Roman" w:hAnsi="Times New Roman"/>
          <w:sz w:val="22"/>
          <w:szCs w:val="22"/>
        </w:rPr>
        <w:t xml:space="preserve"> based on </w:t>
      </w:r>
      <w:r w:rsidRPr="00B91B7E">
        <w:rPr>
          <w:rFonts w:ascii="Times New Roman" w:hAnsi="Times New Roman"/>
          <w:sz w:val="22"/>
          <w:szCs w:val="22"/>
        </w:rPr>
        <w:t>gNB implementation for inter-cell operation (e.g., via scrambling identity)</w:t>
      </w:r>
      <w:r w:rsidR="0083099E" w:rsidRPr="00B91B7E">
        <w:rPr>
          <w:rFonts w:ascii="Times New Roman" w:hAnsi="Times New Roman"/>
          <w:sz w:val="22"/>
          <w:szCs w:val="22"/>
        </w:rPr>
        <w:t xml:space="preserve">, </w:t>
      </w:r>
      <w:r w:rsidR="002B193B" w:rsidRPr="00B91B7E">
        <w:rPr>
          <w:rFonts w:ascii="Times New Roman" w:hAnsi="Times New Roman"/>
          <w:sz w:val="22"/>
          <w:szCs w:val="22"/>
        </w:rPr>
        <w:t xml:space="preserve">existing beam measurement framework does not allow to measure </w:t>
      </w:r>
      <w:r w:rsidR="0083099E" w:rsidRPr="00B91B7E">
        <w:rPr>
          <w:rFonts w:ascii="Times New Roman" w:hAnsi="Times New Roman"/>
          <w:sz w:val="22"/>
          <w:szCs w:val="22"/>
        </w:rPr>
        <w:lastRenderedPageBreak/>
        <w:t xml:space="preserve">SSB </w:t>
      </w:r>
      <w:r w:rsidR="002B193B" w:rsidRPr="00B91B7E">
        <w:rPr>
          <w:rFonts w:ascii="Times New Roman" w:hAnsi="Times New Roman"/>
          <w:sz w:val="22"/>
          <w:szCs w:val="22"/>
        </w:rPr>
        <w:t xml:space="preserve">transmitted by other cells than serving cell. </w:t>
      </w:r>
      <w:r w:rsidR="00A3505D" w:rsidRPr="00B91B7E">
        <w:rPr>
          <w:rFonts w:ascii="Times New Roman" w:hAnsi="Times New Roman"/>
          <w:sz w:val="22"/>
          <w:szCs w:val="22"/>
        </w:rPr>
        <w:t>Given that</w:t>
      </w:r>
      <w:r w:rsidR="002B193B" w:rsidRPr="00B91B7E">
        <w:rPr>
          <w:rFonts w:ascii="Times New Roman" w:hAnsi="Times New Roman"/>
          <w:sz w:val="22"/>
          <w:szCs w:val="22"/>
        </w:rPr>
        <w:t xml:space="preserve"> SSB </w:t>
      </w:r>
      <w:r w:rsidR="00A3505D" w:rsidRPr="00B91B7E">
        <w:rPr>
          <w:rFonts w:ascii="Times New Roman" w:hAnsi="Times New Roman"/>
          <w:sz w:val="22"/>
          <w:szCs w:val="22"/>
        </w:rPr>
        <w:t xml:space="preserve">based beam measurement </w:t>
      </w:r>
      <w:r w:rsidR="002B193B" w:rsidRPr="00B91B7E">
        <w:rPr>
          <w:rFonts w:ascii="Times New Roman" w:hAnsi="Times New Roman"/>
          <w:sz w:val="22"/>
          <w:szCs w:val="22"/>
        </w:rPr>
        <w:t>provides efficient beam measurement</w:t>
      </w:r>
      <w:r w:rsidR="00A3505D" w:rsidRPr="00B91B7E">
        <w:rPr>
          <w:rFonts w:ascii="Times New Roman" w:hAnsi="Times New Roman"/>
          <w:sz w:val="22"/>
          <w:szCs w:val="22"/>
        </w:rPr>
        <w:t>s</w:t>
      </w:r>
      <w:r w:rsidR="002B193B" w:rsidRPr="00B91B7E">
        <w:rPr>
          <w:rFonts w:ascii="Times New Roman" w:hAnsi="Times New Roman"/>
          <w:sz w:val="22"/>
          <w:szCs w:val="22"/>
        </w:rPr>
        <w:t xml:space="preserve"> without additional signaling overheads, </w:t>
      </w:r>
      <w:r w:rsidR="00A3505D" w:rsidRPr="00B91B7E">
        <w:rPr>
          <w:rFonts w:ascii="Times New Roman" w:hAnsi="Times New Roman"/>
          <w:sz w:val="22"/>
          <w:szCs w:val="22"/>
        </w:rPr>
        <w:t>it</w:t>
      </w:r>
      <w:r w:rsidR="002B193B" w:rsidRPr="00B91B7E">
        <w:rPr>
          <w:rFonts w:ascii="Times New Roman" w:hAnsi="Times New Roman"/>
          <w:sz w:val="22"/>
          <w:szCs w:val="22"/>
        </w:rPr>
        <w:t xml:space="preserve"> should be </w:t>
      </w:r>
      <w:r w:rsidR="00A3505D" w:rsidRPr="00B91B7E">
        <w:rPr>
          <w:rFonts w:ascii="Times New Roman" w:hAnsi="Times New Roman"/>
          <w:sz w:val="22"/>
          <w:szCs w:val="22"/>
        </w:rPr>
        <w:t xml:space="preserve">enhanced as </w:t>
      </w:r>
      <w:r w:rsidR="002B193B" w:rsidRPr="00B91B7E">
        <w:rPr>
          <w:rFonts w:ascii="Times New Roman" w:hAnsi="Times New Roman"/>
          <w:sz w:val="22"/>
          <w:szCs w:val="22"/>
        </w:rPr>
        <w:t>a part of inter-cell beam m</w:t>
      </w:r>
      <w:r w:rsidR="00A3505D" w:rsidRPr="00B91B7E">
        <w:rPr>
          <w:rFonts w:ascii="Times New Roman" w:hAnsi="Times New Roman"/>
          <w:sz w:val="22"/>
          <w:szCs w:val="22"/>
        </w:rPr>
        <w:t>easurement.</w:t>
      </w:r>
    </w:p>
    <w:p w14:paraId="68657A86" w14:textId="188640C0" w:rsidR="003975E6" w:rsidRPr="00B91B7E" w:rsidRDefault="003975E6" w:rsidP="003975E6">
      <w:pPr>
        <w:pStyle w:val="BodyText"/>
        <w:spacing w:after="60"/>
        <w:ind w:firstLine="288"/>
        <w:rPr>
          <w:rFonts w:ascii="Times New Roman" w:hAnsi="Times New Roman"/>
          <w:sz w:val="22"/>
          <w:szCs w:val="22"/>
        </w:rPr>
      </w:pPr>
    </w:p>
    <w:p w14:paraId="43D2690E" w14:textId="1FA87B73" w:rsidR="003975E6" w:rsidRPr="00B91B7E" w:rsidRDefault="003975E6" w:rsidP="003975E6">
      <w:pPr>
        <w:spacing w:after="0"/>
        <w:contextualSpacing/>
        <w:jc w:val="both"/>
        <w:rPr>
          <w:i/>
          <w:sz w:val="22"/>
        </w:rPr>
      </w:pPr>
      <w:r w:rsidRPr="00B91B7E">
        <w:rPr>
          <w:b/>
          <w:i/>
          <w:sz w:val="22"/>
        </w:rPr>
        <w:t xml:space="preserve">Observation </w:t>
      </w:r>
      <w:r w:rsidR="005A256C">
        <w:rPr>
          <w:b/>
          <w:i/>
          <w:sz w:val="22"/>
        </w:rPr>
        <w:t>7</w:t>
      </w:r>
      <w:r w:rsidRPr="00B91B7E">
        <w:rPr>
          <w:b/>
          <w:i/>
          <w:sz w:val="22"/>
        </w:rPr>
        <w:t>:</w:t>
      </w:r>
      <w:r w:rsidRPr="00B91B7E">
        <w:rPr>
          <w:i/>
          <w:sz w:val="22"/>
        </w:rPr>
        <w:t xml:space="preserve"> While SSB provides efficient beam measurement without additional </w:t>
      </w:r>
      <w:r w:rsidR="005941B3" w:rsidRPr="00B91B7E">
        <w:rPr>
          <w:i/>
          <w:sz w:val="22"/>
        </w:rPr>
        <w:t>signaling</w:t>
      </w:r>
      <w:r w:rsidRPr="00B91B7E">
        <w:rPr>
          <w:i/>
          <w:sz w:val="22"/>
        </w:rPr>
        <w:t xml:space="preserve"> overheads, existing beam measurement framework does not allow SSB based beam measurement.</w:t>
      </w:r>
    </w:p>
    <w:p w14:paraId="716ED446" w14:textId="177A22CE" w:rsidR="003975E6" w:rsidRPr="00B91B7E" w:rsidRDefault="003975E6" w:rsidP="003975E6">
      <w:pPr>
        <w:pStyle w:val="BodyText"/>
        <w:spacing w:after="60"/>
        <w:ind w:firstLine="288"/>
        <w:rPr>
          <w:rFonts w:ascii="Times New Roman" w:hAnsi="Times New Roman"/>
          <w:sz w:val="22"/>
          <w:szCs w:val="22"/>
          <w:lang w:val="en-GB"/>
        </w:rPr>
      </w:pPr>
    </w:p>
    <w:p w14:paraId="6BD670DE" w14:textId="571E7CCA" w:rsidR="003975E6" w:rsidRPr="00B91B7E" w:rsidRDefault="003975E6" w:rsidP="003975E6">
      <w:pPr>
        <w:spacing w:after="0"/>
        <w:contextualSpacing/>
        <w:jc w:val="both"/>
        <w:rPr>
          <w:bCs/>
          <w:i/>
          <w:sz w:val="22"/>
        </w:rPr>
      </w:pPr>
      <w:r w:rsidRPr="00B91B7E">
        <w:rPr>
          <w:b/>
          <w:i/>
          <w:sz w:val="22"/>
        </w:rPr>
        <w:t xml:space="preserve">Proposal </w:t>
      </w:r>
      <w:r w:rsidR="006D18A7">
        <w:rPr>
          <w:b/>
          <w:i/>
          <w:sz w:val="22"/>
        </w:rPr>
        <w:t>8</w:t>
      </w:r>
      <w:r w:rsidRPr="00B91B7E">
        <w:rPr>
          <w:b/>
          <w:i/>
          <w:sz w:val="22"/>
        </w:rPr>
        <w:t xml:space="preserve">: </w:t>
      </w:r>
      <w:r w:rsidRPr="00B91B7E">
        <w:rPr>
          <w:bCs/>
          <w:i/>
          <w:sz w:val="22"/>
        </w:rPr>
        <w:t>SSB based beam measurement for inter-cell operation should be considered.</w:t>
      </w:r>
    </w:p>
    <w:p w14:paraId="4395FB4C" w14:textId="77777777" w:rsidR="003975E6" w:rsidRPr="00B91B7E" w:rsidRDefault="003975E6" w:rsidP="00006D5B">
      <w:pPr>
        <w:pStyle w:val="BodyText"/>
        <w:spacing w:after="60"/>
        <w:ind w:firstLine="288"/>
        <w:rPr>
          <w:rFonts w:ascii="Times New Roman" w:hAnsi="Times New Roman"/>
          <w:sz w:val="22"/>
          <w:szCs w:val="22"/>
          <w:lang w:val="en-GB"/>
        </w:rPr>
      </w:pPr>
    </w:p>
    <w:p w14:paraId="34C14F3A" w14:textId="412CAC97" w:rsidR="00740137" w:rsidRPr="00B91B7E" w:rsidRDefault="00740137" w:rsidP="00006D5B">
      <w:pPr>
        <w:pStyle w:val="BodyText"/>
        <w:spacing w:afterLines="60" w:after="144"/>
        <w:rPr>
          <w:rFonts w:ascii="Times New Roman" w:eastAsiaTheme="minorEastAsia" w:hAnsi="Times New Roman"/>
          <w:b/>
          <w:bCs/>
          <w:sz w:val="22"/>
          <w:szCs w:val="22"/>
          <w:u w:val="single"/>
          <w:lang w:eastAsia="zh-CN"/>
        </w:rPr>
      </w:pPr>
      <w:r w:rsidRPr="00B91B7E">
        <w:rPr>
          <w:rFonts w:ascii="Times New Roman" w:eastAsiaTheme="minorEastAsia" w:hAnsi="Times New Roman"/>
          <w:b/>
          <w:bCs/>
          <w:sz w:val="22"/>
          <w:szCs w:val="22"/>
          <w:u w:val="single"/>
          <w:lang w:eastAsia="zh-CN"/>
        </w:rPr>
        <w:t xml:space="preserve">Beam indication </w:t>
      </w:r>
    </w:p>
    <w:p w14:paraId="69E5F066" w14:textId="27652312" w:rsidR="00F06C83" w:rsidRPr="00B91B7E" w:rsidRDefault="002B193B" w:rsidP="003975E6">
      <w:pPr>
        <w:pStyle w:val="BodyText"/>
        <w:spacing w:after="60"/>
        <w:ind w:firstLine="288"/>
        <w:rPr>
          <w:rFonts w:ascii="Times New Roman" w:hAnsi="Times New Roman"/>
          <w:sz w:val="22"/>
          <w:szCs w:val="22"/>
        </w:rPr>
      </w:pPr>
      <w:r w:rsidRPr="00B91B7E">
        <w:rPr>
          <w:rFonts w:ascii="Times New Roman" w:hAnsi="Times New Roman"/>
          <w:sz w:val="22"/>
          <w:szCs w:val="22"/>
        </w:rPr>
        <w:t>While existing TCI</w:t>
      </w:r>
      <w:r w:rsidR="008F71B5" w:rsidRPr="00B91B7E">
        <w:rPr>
          <w:rFonts w:ascii="Times New Roman" w:hAnsi="Times New Roman"/>
          <w:sz w:val="22"/>
          <w:szCs w:val="22"/>
        </w:rPr>
        <w:t xml:space="preserve"> state </w:t>
      </w:r>
      <w:r w:rsidRPr="00B91B7E">
        <w:rPr>
          <w:rFonts w:ascii="Times New Roman" w:hAnsi="Times New Roman"/>
          <w:sz w:val="22"/>
          <w:szCs w:val="22"/>
        </w:rPr>
        <w:t xml:space="preserve">allows </w:t>
      </w:r>
      <w:r w:rsidR="00CC3F5C" w:rsidRPr="00B91B7E">
        <w:rPr>
          <w:rFonts w:ascii="Times New Roman" w:hAnsi="Times New Roman"/>
          <w:sz w:val="22"/>
          <w:szCs w:val="22"/>
        </w:rPr>
        <w:t xml:space="preserve">beam indication based on a </w:t>
      </w:r>
      <w:r w:rsidRPr="00B91B7E">
        <w:rPr>
          <w:rFonts w:ascii="Times New Roman" w:hAnsi="Times New Roman"/>
          <w:sz w:val="22"/>
          <w:szCs w:val="22"/>
        </w:rPr>
        <w:t xml:space="preserve">reference signal from </w:t>
      </w:r>
      <w:r w:rsidR="00E12DF5" w:rsidRPr="00B91B7E">
        <w:rPr>
          <w:rFonts w:ascii="Times New Roman" w:hAnsi="Times New Roman"/>
          <w:sz w:val="22"/>
          <w:szCs w:val="22"/>
        </w:rPr>
        <w:t xml:space="preserve">a </w:t>
      </w:r>
      <w:r w:rsidRPr="00B91B7E">
        <w:rPr>
          <w:rFonts w:ascii="Times New Roman" w:hAnsi="Times New Roman"/>
          <w:sz w:val="22"/>
          <w:szCs w:val="22"/>
        </w:rPr>
        <w:t xml:space="preserve">serving cell, </w:t>
      </w:r>
      <w:r w:rsidR="00A3505D" w:rsidRPr="00B91B7E">
        <w:rPr>
          <w:rFonts w:ascii="Times New Roman" w:hAnsi="Times New Roman"/>
          <w:sz w:val="22"/>
          <w:szCs w:val="22"/>
        </w:rPr>
        <w:t xml:space="preserve">a </w:t>
      </w:r>
      <w:r w:rsidRPr="00B91B7E">
        <w:rPr>
          <w:rFonts w:ascii="Times New Roman" w:hAnsi="Times New Roman"/>
          <w:sz w:val="22"/>
          <w:szCs w:val="22"/>
        </w:rPr>
        <w:t>reference signal from other cell</w:t>
      </w:r>
      <w:r w:rsidR="00E12DF5" w:rsidRPr="00B91B7E">
        <w:rPr>
          <w:rFonts w:ascii="Times New Roman" w:hAnsi="Times New Roman"/>
          <w:sz w:val="22"/>
          <w:szCs w:val="22"/>
        </w:rPr>
        <w:t>s than serving cells</w:t>
      </w:r>
      <w:r w:rsidRPr="00B91B7E">
        <w:rPr>
          <w:rFonts w:ascii="Times New Roman" w:hAnsi="Times New Roman"/>
          <w:sz w:val="22"/>
          <w:szCs w:val="22"/>
        </w:rPr>
        <w:t xml:space="preserve"> </w:t>
      </w:r>
      <w:r w:rsidR="00A3505D" w:rsidRPr="00B91B7E">
        <w:rPr>
          <w:rFonts w:ascii="Times New Roman" w:hAnsi="Times New Roman"/>
          <w:sz w:val="22"/>
          <w:szCs w:val="22"/>
        </w:rPr>
        <w:t xml:space="preserve">is not allowed to </w:t>
      </w:r>
      <w:r w:rsidRPr="00B91B7E">
        <w:rPr>
          <w:rFonts w:ascii="Times New Roman" w:hAnsi="Times New Roman"/>
          <w:sz w:val="22"/>
          <w:szCs w:val="22"/>
        </w:rPr>
        <w:t>be utilized. In order to achieve efficient operation</w:t>
      </w:r>
      <w:r w:rsidR="00A3505D" w:rsidRPr="00B91B7E">
        <w:rPr>
          <w:rFonts w:ascii="Times New Roman" w:hAnsi="Times New Roman"/>
          <w:sz w:val="22"/>
          <w:szCs w:val="22"/>
        </w:rPr>
        <w:t xml:space="preserve"> for beam indication of inter-cell operation</w:t>
      </w:r>
      <w:r w:rsidRPr="00B91B7E">
        <w:rPr>
          <w:rFonts w:ascii="Times New Roman" w:hAnsi="Times New Roman"/>
          <w:sz w:val="22"/>
          <w:szCs w:val="22"/>
        </w:rPr>
        <w:t xml:space="preserve">, </w:t>
      </w:r>
      <w:r w:rsidR="002024D0" w:rsidRPr="00B91B7E">
        <w:rPr>
          <w:rFonts w:ascii="Times New Roman" w:hAnsi="Times New Roman"/>
          <w:sz w:val="22"/>
          <w:szCs w:val="22"/>
        </w:rPr>
        <w:t xml:space="preserve">enhancement on </w:t>
      </w:r>
      <w:r w:rsidR="00A3505D" w:rsidRPr="00B91B7E">
        <w:rPr>
          <w:rFonts w:ascii="Times New Roman" w:hAnsi="Times New Roman"/>
          <w:sz w:val="22"/>
          <w:szCs w:val="22"/>
        </w:rPr>
        <w:t xml:space="preserve">existing </w:t>
      </w:r>
      <w:r w:rsidR="008F71B5" w:rsidRPr="00B91B7E">
        <w:rPr>
          <w:rFonts w:ascii="Times New Roman" w:hAnsi="Times New Roman"/>
          <w:sz w:val="22"/>
          <w:szCs w:val="22"/>
        </w:rPr>
        <w:t>TCI state</w:t>
      </w:r>
      <w:r w:rsidRPr="00B91B7E">
        <w:rPr>
          <w:rFonts w:ascii="Times New Roman" w:hAnsi="Times New Roman"/>
          <w:sz w:val="22"/>
          <w:szCs w:val="22"/>
        </w:rPr>
        <w:t xml:space="preserve"> should be </w:t>
      </w:r>
      <w:r w:rsidR="00A3505D" w:rsidRPr="00B91B7E">
        <w:rPr>
          <w:rFonts w:ascii="Times New Roman" w:hAnsi="Times New Roman"/>
          <w:sz w:val="22"/>
          <w:szCs w:val="22"/>
        </w:rPr>
        <w:t>enhanced</w:t>
      </w:r>
      <w:r w:rsidRPr="00B91B7E">
        <w:rPr>
          <w:rFonts w:ascii="Times New Roman" w:hAnsi="Times New Roman"/>
          <w:sz w:val="22"/>
          <w:szCs w:val="22"/>
        </w:rPr>
        <w:t xml:space="preserve">. </w:t>
      </w:r>
      <w:r w:rsidR="002427A8" w:rsidRPr="00B91B7E">
        <w:rPr>
          <w:rFonts w:ascii="Times New Roman" w:hAnsi="Times New Roman"/>
          <w:sz w:val="22"/>
          <w:szCs w:val="22"/>
        </w:rPr>
        <w:t>In addition, enhanced beam indication method for inter-cell operation can be considered. One possible way to support enhanced beam indication would be an indication of beam group instead of indicating only one beam</w:t>
      </w:r>
      <w:r w:rsidR="001E4082" w:rsidRPr="00B91B7E">
        <w:rPr>
          <w:rFonts w:ascii="Times New Roman" w:hAnsi="Times New Roman"/>
          <w:sz w:val="22"/>
          <w:szCs w:val="22"/>
        </w:rPr>
        <w:t xml:space="preserve"> for the operation</w:t>
      </w:r>
      <w:r w:rsidR="002427A8" w:rsidRPr="00B91B7E">
        <w:rPr>
          <w:rFonts w:ascii="Times New Roman" w:hAnsi="Times New Roman"/>
          <w:sz w:val="22"/>
          <w:szCs w:val="22"/>
        </w:rPr>
        <w:t xml:space="preserve">. </w:t>
      </w:r>
      <w:r w:rsidR="001E4082" w:rsidRPr="00B91B7E">
        <w:rPr>
          <w:rFonts w:ascii="Times New Roman" w:hAnsi="Times New Roman"/>
          <w:sz w:val="22"/>
          <w:szCs w:val="22"/>
        </w:rPr>
        <w:t>Based on the indicated beam group</w:t>
      </w:r>
      <w:r w:rsidR="002427A8" w:rsidRPr="00B91B7E">
        <w:rPr>
          <w:rFonts w:ascii="Times New Roman" w:hAnsi="Times New Roman"/>
          <w:sz w:val="22"/>
          <w:szCs w:val="22"/>
        </w:rPr>
        <w:t xml:space="preserve">, UE-centric determination can be </w:t>
      </w:r>
      <w:r w:rsidR="001E4082" w:rsidRPr="00B91B7E">
        <w:rPr>
          <w:rFonts w:ascii="Times New Roman" w:hAnsi="Times New Roman"/>
          <w:sz w:val="22"/>
          <w:szCs w:val="22"/>
        </w:rPr>
        <w:t>considered</w:t>
      </w:r>
      <w:r w:rsidR="002427A8" w:rsidRPr="00B91B7E">
        <w:rPr>
          <w:rFonts w:ascii="Times New Roman" w:hAnsi="Times New Roman"/>
          <w:sz w:val="22"/>
          <w:szCs w:val="22"/>
        </w:rPr>
        <w:t xml:space="preserve"> based on the indicated beam group. </w:t>
      </w:r>
    </w:p>
    <w:p w14:paraId="6DFF39DC" w14:textId="48D3CF0A" w:rsidR="003975E6" w:rsidRPr="00B91B7E" w:rsidRDefault="003975E6" w:rsidP="003975E6">
      <w:pPr>
        <w:pStyle w:val="BodyText"/>
        <w:spacing w:after="60"/>
        <w:ind w:firstLine="288"/>
        <w:rPr>
          <w:rFonts w:ascii="Times New Roman" w:hAnsi="Times New Roman"/>
          <w:sz w:val="22"/>
          <w:szCs w:val="22"/>
        </w:rPr>
      </w:pPr>
    </w:p>
    <w:p w14:paraId="0F0DB6BF" w14:textId="49ADC6BE" w:rsidR="00086DA1" w:rsidRPr="00B91B7E" w:rsidRDefault="00086DA1" w:rsidP="00086DA1">
      <w:pPr>
        <w:spacing w:after="0"/>
        <w:contextualSpacing/>
        <w:jc w:val="both"/>
        <w:rPr>
          <w:i/>
          <w:sz w:val="22"/>
        </w:rPr>
      </w:pPr>
      <w:r w:rsidRPr="00B91B7E">
        <w:rPr>
          <w:b/>
          <w:i/>
          <w:sz w:val="22"/>
        </w:rPr>
        <w:t xml:space="preserve">Observation </w:t>
      </w:r>
      <w:r w:rsidR="005A256C">
        <w:rPr>
          <w:b/>
          <w:i/>
          <w:sz w:val="22"/>
        </w:rPr>
        <w:t>8</w:t>
      </w:r>
      <w:r w:rsidRPr="00B91B7E">
        <w:rPr>
          <w:b/>
          <w:i/>
          <w:sz w:val="22"/>
        </w:rPr>
        <w:t>:</w:t>
      </w:r>
      <w:r w:rsidRPr="00B91B7E">
        <w:rPr>
          <w:i/>
          <w:sz w:val="22"/>
        </w:rPr>
        <w:t xml:space="preserve"> Existing TCI state does not allow beam indication based on a reference signal from other cells than serving cells.</w:t>
      </w:r>
    </w:p>
    <w:p w14:paraId="00BA885B" w14:textId="77777777" w:rsidR="00086DA1" w:rsidRPr="00B91B7E" w:rsidRDefault="00086DA1" w:rsidP="003975E6">
      <w:pPr>
        <w:pStyle w:val="BodyText"/>
        <w:spacing w:after="60"/>
        <w:ind w:firstLine="288"/>
        <w:rPr>
          <w:rFonts w:ascii="Times New Roman" w:hAnsi="Times New Roman"/>
          <w:sz w:val="22"/>
          <w:szCs w:val="22"/>
          <w:lang w:val="en-GB"/>
        </w:rPr>
      </w:pPr>
    </w:p>
    <w:p w14:paraId="2E1820F5" w14:textId="38D2B454" w:rsidR="00086DA1" w:rsidRPr="00B91B7E" w:rsidRDefault="00086DA1" w:rsidP="00086DA1">
      <w:pPr>
        <w:spacing w:after="0"/>
        <w:contextualSpacing/>
        <w:jc w:val="both"/>
        <w:rPr>
          <w:bCs/>
          <w:i/>
          <w:sz w:val="22"/>
        </w:rPr>
      </w:pPr>
      <w:r w:rsidRPr="00B91B7E">
        <w:rPr>
          <w:b/>
          <w:i/>
          <w:sz w:val="22"/>
        </w:rPr>
        <w:t xml:space="preserve">Proposal </w:t>
      </w:r>
      <w:r w:rsidR="009B311C">
        <w:rPr>
          <w:b/>
          <w:i/>
          <w:sz w:val="22"/>
        </w:rPr>
        <w:t>9</w:t>
      </w:r>
      <w:r w:rsidRPr="00B91B7E">
        <w:rPr>
          <w:b/>
          <w:i/>
          <w:sz w:val="22"/>
        </w:rPr>
        <w:t>:</w:t>
      </w:r>
      <w:r w:rsidRPr="00B91B7E">
        <w:rPr>
          <w:bCs/>
          <w:i/>
          <w:sz w:val="22"/>
        </w:rPr>
        <w:t xml:space="preserve"> An indication of a reference signal from other cells than serving cells should be considered in TCI state for inter-cell operation.</w:t>
      </w:r>
    </w:p>
    <w:p w14:paraId="62DFD3B9" w14:textId="77777777" w:rsidR="003975E6" w:rsidRPr="00B91B7E" w:rsidRDefault="003975E6" w:rsidP="00006D5B">
      <w:pPr>
        <w:pStyle w:val="BodyText"/>
        <w:spacing w:after="60"/>
        <w:ind w:firstLine="288"/>
        <w:rPr>
          <w:rFonts w:ascii="Times New Roman" w:hAnsi="Times New Roman"/>
          <w:sz w:val="22"/>
          <w:szCs w:val="22"/>
          <w:lang w:val="en-GB"/>
        </w:rPr>
      </w:pPr>
    </w:p>
    <w:p w14:paraId="2CB75154" w14:textId="6C47F3C0" w:rsidR="001E4082" w:rsidRPr="00B91B7E" w:rsidRDefault="001E4082" w:rsidP="00006D5B">
      <w:pPr>
        <w:pStyle w:val="BodyText"/>
        <w:spacing w:afterLines="60" w:after="144"/>
        <w:rPr>
          <w:rFonts w:ascii="Times New Roman" w:eastAsiaTheme="minorEastAsia" w:hAnsi="Times New Roman"/>
          <w:b/>
          <w:bCs/>
          <w:sz w:val="22"/>
          <w:szCs w:val="22"/>
          <w:u w:val="single"/>
          <w:lang w:eastAsia="zh-CN"/>
        </w:rPr>
      </w:pPr>
      <w:r w:rsidRPr="00B91B7E">
        <w:rPr>
          <w:rFonts w:ascii="Times New Roman" w:eastAsiaTheme="minorEastAsia" w:hAnsi="Times New Roman"/>
          <w:b/>
          <w:bCs/>
          <w:sz w:val="22"/>
          <w:szCs w:val="22"/>
          <w:u w:val="single"/>
          <w:lang w:eastAsia="zh-CN"/>
        </w:rPr>
        <w:t xml:space="preserve">Beam failure recovery </w:t>
      </w:r>
    </w:p>
    <w:p w14:paraId="63AC8155" w14:textId="22A83894" w:rsidR="003975E6" w:rsidRPr="00B91B7E" w:rsidRDefault="003975E6" w:rsidP="00006D5B">
      <w:pPr>
        <w:pStyle w:val="BodyText"/>
        <w:spacing w:after="60"/>
        <w:ind w:firstLine="288"/>
        <w:rPr>
          <w:rFonts w:ascii="Times New Roman" w:hAnsi="Times New Roman"/>
          <w:sz w:val="22"/>
          <w:szCs w:val="22"/>
        </w:rPr>
      </w:pPr>
      <w:r w:rsidRPr="00B91B7E">
        <w:rPr>
          <w:rFonts w:ascii="Times New Roman" w:hAnsi="Times New Roman"/>
          <w:sz w:val="22"/>
          <w:szCs w:val="22"/>
        </w:rPr>
        <w:t>Given that beam failure recovery is an essential procedure which provides reliability and enables standalone operation of FR2, enhancement of beam failure recovery should be an important part of inter-cell mobility. For the enhancement, monitoring, candidate beam selection and reporting for other cells can be considered.</w:t>
      </w:r>
      <w:r w:rsidR="004965CE" w:rsidRPr="00B91B7E">
        <w:rPr>
          <w:rFonts w:ascii="Times New Roman" w:hAnsi="Times New Roman"/>
          <w:sz w:val="22"/>
          <w:szCs w:val="22"/>
        </w:rPr>
        <w:t xml:space="preserve"> For example, a</w:t>
      </w:r>
      <w:r w:rsidRPr="00B91B7E">
        <w:rPr>
          <w:rFonts w:ascii="Times New Roman" w:hAnsi="Times New Roman"/>
          <w:sz w:val="22"/>
          <w:szCs w:val="22"/>
        </w:rPr>
        <w:t>s number of cells to be monitored, selected and reported increases, UE implementation complexity and power consumption also increase. In that regard, enhanced operation of beam failure recovery should consider efficient operation with reasonable power consumption. For example, prioritization of beams from serving cells than other cells can be considered.</w:t>
      </w:r>
    </w:p>
    <w:p w14:paraId="1A7E24F8" w14:textId="77777777" w:rsidR="00237816" w:rsidRPr="00B91B7E" w:rsidRDefault="00237816" w:rsidP="00CC3F5C">
      <w:pPr>
        <w:spacing w:after="0"/>
        <w:contextualSpacing/>
        <w:jc w:val="both"/>
        <w:rPr>
          <w:b/>
          <w:i/>
          <w:sz w:val="22"/>
          <w:lang w:val="en-US"/>
        </w:rPr>
      </w:pPr>
    </w:p>
    <w:p w14:paraId="42FB127C" w14:textId="0951F6A7" w:rsidR="00E12DF5" w:rsidRPr="00B91B7E" w:rsidRDefault="00E12DF5" w:rsidP="00CC3F5C">
      <w:pPr>
        <w:spacing w:after="0"/>
        <w:contextualSpacing/>
        <w:jc w:val="both"/>
        <w:rPr>
          <w:i/>
          <w:sz w:val="22"/>
        </w:rPr>
      </w:pPr>
      <w:r w:rsidRPr="00B91B7E">
        <w:rPr>
          <w:b/>
          <w:bCs/>
          <w:i/>
          <w:sz w:val="22"/>
        </w:rPr>
        <w:t xml:space="preserve">Observation </w:t>
      </w:r>
      <w:r w:rsidR="005A256C">
        <w:rPr>
          <w:b/>
          <w:bCs/>
          <w:i/>
          <w:sz w:val="22"/>
        </w:rPr>
        <w:t>9</w:t>
      </w:r>
      <w:r w:rsidRPr="00B91B7E">
        <w:rPr>
          <w:b/>
          <w:bCs/>
          <w:i/>
          <w:sz w:val="22"/>
        </w:rPr>
        <w:t>:</w:t>
      </w:r>
      <w:r w:rsidRPr="00B91B7E">
        <w:rPr>
          <w:i/>
          <w:sz w:val="22"/>
        </w:rPr>
        <w:t xml:space="preserve"> Beam failure recovery is an essential procedure which provides reliability and enables standalone operation of FR2</w:t>
      </w:r>
      <w:r w:rsidR="00AC6652" w:rsidRPr="00B91B7E">
        <w:rPr>
          <w:i/>
          <w:sz w:val="22"/>
        </w:rPr>
        <w:t>.</w:t>
      </w:r>
    </w:p>
    <w:p w14:paraId="058BC350" w14:textId="5DD0976C" w:rsidR="00086DA1" w:rsidRPr="00B91B7E" w:rsidRDefault="00086DA1" w:rsidP="00CC3F5C">
      <w:pPr>
        <w:spacing w:after="0"/>
        <w:contextualSpacing/>
        <w:jc w:val="both"/>
        <w:rPr>
          <w:i/>
          <w:sz w:val="22"/>
        </w:rPr>
      </w:pPr>
    </w:p>
    <w:p w14:paraId="16E58B0C" w14:textId="63634D26" w:rsidR="00086DA1" w:rsidRPr="00B91B7E" w:rsidRDefault="00086DA1" w:rsidP="00086DA1">
      <w:pPr>
        <w:spacing w:after="0"/>
        <w:contextualSpacing/>
        <w:jc w:val="both"/>
        <w:rPr>
          <w:i/>
          <w:sz w:val="22"/>
        </w:rPr>
      </w:pPr>
      <w:r w:rsidRPr="00B91B7E">
        <w:rPr>
          <w:b/>
          <w:bCs/>
          <w:i/>
          <w:sz w:val="22"/>
        </w:rPr>
        <w:t xml:space="preserve">Observation </w:t>
      </w:r>
      <w:r w:rsidR="005A256C">
        <w:rPr>
          <w:b/>
          <w:bCs/>
          <w:i/>
          <w:sz w:val="22"/>
        </w:rPr>
        <w:t>10</w:t>
      </w:r>
      <w:r w:rsidRPr="00B91B7E">
        <w:rPr>
          <w:b/>
          <w:bCs/>
          <w:i/>
          <w:sz w:val="22"/>
        </w:rPr>
        <w:t xml:space="preserve">: </w:t>
      </w:r>
      <w:r w:rsidRPr="00B91B7E">
        <w:rPr>
          <w:i/>
          <w:sz w:val="22"/>
        </w:rPr>
        <w:t>As number of cells to be monitored, selected and reported increases, UE implementation complexity and power consumption also increase.</w:t>
      </w:r>
    </w:p>
    <w:p w14:paraId="027944EB" w14:textId="01559F00" w:rsidR="00E12DF5" w:rsidRPr="00B91B7E" w:rsidRDefault="00E12DF5" w:rsidP="00CC3F5C">
      <w:pPr>
        <w:spacing w:after="0"/>
        <w:contextualSpacing/>
        <w:jc w:val="both"/>
        <w:rPr>
          <w:i/>
          <w:sz w:val="22"/>
        </w:rPr>
      </w:pPr>
    </w:p>
    <w:p w14:paraId="6711F57D" w14:textId="3D988B87" w:rsidR="00CC3F5C" w:rsidRPr="00B91B7E" w:rsidRDefault="00CC3F5C" w:rsidP="00CC3F5C">
      <w:pPr>
        <w:spacing w:after="0"/>
        <w:contextualSpacing/>
        <w:jc w:val="both"/>
        <w:rPr>
          <w:bCs/>
          <w:i/>
          <w:sz w:val="22"/>
        </w:rPr>
      </w:pPr>
      <w:r w:rsidRPr="00B91B7E">
        <w:rPr>
          <w:b/>
          <w:i/>
          <w:sz w:val="22"/>
        </w:rPr>
        <w:t>Proposal</w:t>
      </w:r>
      <w:r w:rsidR="00086DA1" w:rsidRPr="00B91B7E">
        <w:rPr>
          <w:b/>
          <w:i/>
          <w:sz w:val="22"/>
        </w:rPr>
        <w:t xml:space="preserve"> </w:t>
      </w:r>
      <w:r w:rsidR="00383388">
        <w:rPr>
          <w:b/>
          <w:i/>
          <w:sz w:val="22"/>
        </w:rPr>
        <w:t>10</w:t>
      </w:r>
      <w:r w:rsidRPr="00B91B7E">
        <w:rPr>
          <w:b/>
          <w:i/>
          <w:sz w:val="22"/>
        </w:rPr>
        <w:t>:</w:t>
      </w:r>
      <w:r w:rsidRPr="00B91B7E">
        <w:rPr>
          <w:bCs/>
          <w:i/>
          <w:sz w:val="22"/>
        </w:rPr>
        <w:t xml:space="preserve"> Efficient beam failure recovery operation for inter-cell operation should be supported</w:t>
      </w:r>
      <w:r w:rsidR="00AC6652" w:rsidRPr="00B91B7E">
        <w:rPr>
          <w:bCs/>
          <w:i/>
          <w:sz w:val="22"/>
        </w:rPr>
        <w:t>.</w:t>
      </w:r>
    </w:p>
    <w:p w14:paraId="5C6B0218" w14:textId="103C32DB" w:rsidR="00086DA1" w:rsidRPr="00B91B7E" w:rsidRDefault="00086DA1" w:rsidP="00CC3F5C">
      <w:pPr>
        <w:spacing w:after="0"/>
        <w:contextualSpacing/>
        <w:jc w:val="both"/>
        <w:rPr>
          <w:bCs/>
          <w:i/>
          <w:sz w:val="22"/>
        </w:rPr>
      </w:pPr>
    </w:p>
    <w:p w14:paraId="618C7831" w14:textId="0AC49755" w:rsidR="0005502D" w:rsidRPr="00B91B7E" w:rsidRDefault="0005502D"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MP-UE assumption to facilitate fast UL panel selection</w:t>
      </w:r>
    </w:p>
    <w:p w14:paraId="497010E2" w14:textId="17A152AB" w:rsidR="008F041F" w:rsidRPr="008F041F" w:rsidRDefault="008F041F" w:rsidP="008F041F">
      <w:pPr>
        <w:pStyle w:val="BodyText"/>
        <w:rPr>
          <w:rFonts w:ascii="Times New Roman" w:hAnsi="Times New Roman"/>
          <w:b/>
          <w:bCs/>
          <w:sz w:val="22"/>
          <w:szCs w:val="22"/>
          <w:u w:val="single"/>
        </w:rPr>
      </w:pPr>
      <w:r w:rsidRPr="008F041F">
        <w:rPr>
          <w:rFonts w:ascii="Times New Roman" w:hAnsi="Times New Roman"/>
          <w:b/>
          <w:bCs/>
          <w:sz w:val="22"/>
          <w:szCs w:val="22"/>
          <w:u w:val="single"/>
        </w:rPr>
        <w:t>CSI reporting for MP-UE assumption</w:t>
      </w:r>
    </w:p>
    <w:p w14:paraId="7CD6DB2E" w14:textId="53E17DDB" w:rsidR="005F4A1C" w:rsidRDefault="005F4A1C" w:rsidP="005F4A1C">
      <w:pPr>
        <w:pStyle w:val="BodyText"/>
        <w:spacing w:after="60"/>
        <w:ind w:firstLine="288"/>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RAN1#103-e [1], UE-initiated UL panel selection/activation was agreed</w:t>
      </w:r>
      <w:r w:rsidR="00330700">
        <w:rPr>
          <w:rFonts w:ascii="Times New Roman" w:eastAsiaTheme="minorEastAsia" w:hAnsi="Times New Roman"/>
          <w:sz w:val="22"/>
          <w:szCs w:val="22"/>
          <w:lang w:eastAsia="zh-CN"/>
        </w:rPr>
        <w:t xml:space="preserve"> to facilitate fast uplink panel selection</w:t>
      </w:r>
      <w:r>
        <w:rPr>
          <w:rFonts w:ascii="Times New Roman" w:eastAsiaTheme="minorEastAsia" w:hAnsi="Times New Roman"/>
          <w:sz w:val="22"/>
          <w:szCs w:val="22"/>
          <w:lang w:eastAsia="zh-CN"/>
        </w:rPr>
        <w:t>.</w:t>
      </w:r>
      <w:r w:rsidR="00993F5A">
        <w:rPr>
          <w:rFonts w:ascii="Times New Roman" w:eastAsiaTheme="minorEastAsia" w:hAnsi="Times New Roman"/>
          <w:sz w:val="22"/>
          <w:szCs w:val="22"/>
          <w:lang w:eastAsia="zh-CN"/>
        </w:rPr>
        <w:t xml:space="preserve"> For UE initiated UL panel selection/activation, CSI reporting can be a good method to indicate UE’s selection on UL panel to gNB. </w:t>
      </w:r>
      <w:r w:rsidR="007C4CB7">
        <w:rPr>
          <w:rFonts w:ascii="Times New Roman" w:eastAsiaTheme="minorEastAsia" w:hAnsi="Times New Roman"/>
          <w:sz w:val="22"/>
          <w:szCs w:val="22"/>
          <w:lang w:eastAsia="zh-CN"/>
        </w:rPr>
        <w:t xml:space="preserve">One possible </w:t>
      </w:r>
      <w:r w:rsidR="009729BB">
        <w:rPr>
          <w:rFonts w:ascii="Times New Roman" w:eastAsiaTheme="minorEastAsia" w:hAnsi="Times New Roman"/>
          <w:sz w:val="22"/>
          <w:szCs w:val="22"/>
          <w:lang w:eastAsia="zh-CN"/>
        </w:rPr>
        <w:t>enhancement with simple specification impact</w:t>
      </w:r>
      <w:r w:rsidR="007C4CB7">
        <w:rPr>
          <w:rFonts w:ascii="Times New Roman" w:eastAsiaTheme="minorEastAsia" w:hAnsi="Times New Roman"/>
          <w:sz w:val="22"/>
          <w:szCs w:val="22"/>
          <w:lang w:eastAsia="zh-CN"/>
        </w:rPr>
        <w:t xml:space="preserve"> would be introducing </w:t>
      </w:r>
      <w:r w:rsidR="00997253">
        <w:rPr>
          <w:rFonts w:ascii="Times New Roman" w:eastAsiaTheme="minorEastAsia" w:hAnsi="Times New Roman"/>
          <w:sz w:val="22"/>
          <w:szCs w:val="22"/>
          <w:lang w:eastAsia="zh-CN"/>
        </w:rPr>
        <w:t xml:space="preserve">a </w:t>
      </w:r>
      <w:r w:rsidR="007C4CB7">
        <w:rPr>
          <w:rFonts w:ascii="Times New Roman" w:eastAsiaTheme="minorEastAsia" w:hAnsi="Times New Roman"/>
          <w:sz w:val="22"/>
          <w:szCs w:val="22"/>
          <w:lang w:eastAsia="zh-CN"/>
        </w:rPr>
        <w:t xml:space="preserve">panel ID in a CSI-RS resource. </w:t>
      </w:r>
      <w:r w:rsidR="009729BB">
        <w:rPr>
          <w:rFonts w:ascii="Times New Roman" w:eastAsiaTheme="minorEastAsia" w:hAnsi="Times New Roman"/>
          <w:sz w:val="22"/>
          <w:szCs w:val="22"/>
          <w:lang w:eastAsia="zh-CN"/>
        </w:rPr>
        <w:t>For example, based on the panel ID, UE can report its panel selection/activation to gNB by</w:t>
      </w:r>
      <w:r w:rsidR="00A52023">
        <w:rPr>
          <w:rFonts w:ascii="Times New Roman" w:eastAsiaTheme="minorEastAsia" w:hAnsi="Times New Roman"/>
          <w:sz w:val="22"/>
          <w:szCs w:val="22"/>
          <w:lang w:eastAsia="zh-CN"/>
        </w:rPr>
        <w:t xml:space="preserve"> reporting CRI and gNB can identify UE’s decision by determining associated panel ID with reported CRI. </w:t>
      </w:r>
    </w:p>
    <w:p w14:paraId="5141AB8F" w14:textId="1F598300" w:rsidR="00993F5A" w:rsidRDefault="00993F5A" w:rsidP="00993F5A">
      <w:pPr>
        <w:pStyle w:val="BodyText"/>
        <w:spacing w:after="60"/>
        <w:ind w:firstLine="288"/>
        <w:rPr>
          <w:rFonts w:ascii="Times New Roman" w:hAnsi="Times New Roman"/>
          <w:sz w:val="22"/>
          <w:szCs w:val="22"/>
          <w:highlight w:val="yellow"/>
        </w:rPr>
      </w:pPr>
    </w:p>
    <w:p w14:paraId="353A1326" w14:textId="4406CC2A" w:rsidR="00454F01" w:rsidRPr="00B91B7E" w:rsidRDefault="00454F01" w:rsidP="00454F01">
      <w:pPr>
        <w:spacing w:after="0"/>
        <w:contextualSpacing/>
        <w:jc w:val="both"/>
        <w:rPr>
          <w:i/>
          <w:sz w:val="22"/>
        </w:rPr>
      </w:pPr>
      <w:r w:rsidRPr="00B91B7E">
        <w:rPr>
          <w:b/>
          <w:bCs/>
          <w:i/>
          <w:sz w:val="22"/>
        </w:rPr>
        <w:t xml:space="preserve">Observation </w:t>
      </w:r>
      <w:r>
        <w:rPr>
          <w:b/>
          <w:bCs/>
          <w:i/>
          <w:sz w:val="22"/>
        </w:rPr>
        <w:t>11</w:t>
      </w:r>
      <w:r w:rsidRPr="00B91B7E">
        <w:rPr>
          <w:b/>
          <w:bCs/>
          <w:i/>
          <w:sz w:val="22"/>
        </w:rPr>
        <w:t xml:space="preserve">: </w:t>
      </w:r>
      <w:r w:rsidR="008F041F">
        <w:rPr>
          <w:i/>
          <w:sz w:val="22"/>
        </w:rPr>
        <w:t>CSI reporting can be a good method to indicate UE’s panel selection</w:t>
      </w:r>
      <w:r w:rsidR="00117514">
        <w:rPr>
          <w:i/>
          <w:sz w:val="22"/>
        </w:rPr>
        <w:t>/activation</w:t>
      </w:r>
      <w:r w:rsidR="008F041F">
        <w:rPr>
          <w:i/>
          <w:sz w:val="22"/>
        </w:rPr>
        <w:t xml:space="preserve"> with simple specification impact</w:t>
      </w:r>
      <w:r w:rsidRPr="00B91B7E">
        <w:rPr>
          <w:i/>
          <w:sz w:val="22"/>
        </w:rPr>
        <w:t>.</w:t>
      </w:r>
    </w:p>
    <w:p w14:paraId="0FFD665C" w14:textId="77777777" w:rsidR="00454F01" w:rsidRPr="00B91B7E" w:rsidRDefault="00454F01" w:rsidP="00454F01">
      <w:pPr>
        <w:spacing w:after="0"/>
        <w:contextualSpacing/>
        <w:jc w:val="both"/>
        <w:rPr>
          <w:i/>
          <w:sz w:val="22"/>
        </w:rPr>
      </w:pPr>
    </w:p>
    <w:p w14:paraId="074C8AD4" w14:textId="0A3B1BD9" w:rsidR="00454F01" w:rsidRPr="00B91B7E" w:rsidRDefault="00454F01" w:rsidP="00454F01">
      <w:pPr>
        <w:spacing w:after="0"/>
        <w:contextualSpacing/>
        <w:jc w:val="both"/>
        <w:rPr>
          <w:bCs/>
          <w:i/>
          <w:sz w:val="22"/>
        </w:rPr>
      </w:pPr>
      <w:r w:rsidRPr="00B91B7E">
        <w:rPr>
          <w:b/>
          <w:i/>
          <w:sz w:val="22"/>
        </w:rPr>
        <w:t xml:space="preserve">Proposal </w:t>
      </w:r>
      <w:r>
        <w:rPr>
          <w:b/>
          <w:i/>
          <w:sz w:val="22"/>
        </w:rPr>
        <w:t>11</w:t>
      </w:r>
      <w:r w:rsidRPr="00B91B7E">
        <w:rPr>
          <w:b/>
          <w:i/>
          <w:sz w:val="22"/>
        </w:rPr>
        <w:t>:</w:t>
      </w:r>
      <w:r w:rsidRPr="00B91B7E">
        <w:rPr>
          <w:bCs/>
          <w:i/>
          <w:sz w:val="22"/>
        </w:rPr>
        <w:t xml:space="preserve"> </w:t>
      </w:r>
      <w:r w:rsidR="008F041F">
        <w:rPr>
          <w:bCs/>
          <w:i/>
          <w:sz w:val="22"/>
        </w:rPr>
        <w:t>Introduce panel ID in a CSI-RS resource</w:t>
      </w:r>
      <w:r w:rsidR="00117514">
        <w:rPr>
          <w:bCs/>
          <w:i/>
          <w:sz w:val="22"/>
        </w:rPr>
        <w:t xml:space="preserve"> for CSI reporting based on UE-initiated UL panel selection/activation</w:t>
      </w:r>
      <w:r w:rsidRPr="00B91B7E">
        <w:rPr>
          <w:bCs/>
          <w:i/>
          <w:sz w:val="22"/>
        </w:rPr>
        <w:t>.</w:t>
      </w:r>
    </w:p>
    <w:p w14:paraId="1115A683" w14:textId="77777777" w:rsidR="00993F5A" w:rsidRPr="00B91B7E" w:rsidRDefault="00993F5A" w:rsidP="005F4A1C">
      <w:pPr>
        <w:pStyle w:val="BodyText"/>
        <w:spacing w:after="60"/>
        <w:ind w:firstLine="288"/>
        <w:rPr>
          <w:rFonts w:ascii="Times New Roman" w:eastAsiaTheme="minorEastAsia" w:hAnsi="Times New Roman"/>
          <w:sz w:val="22"/>
          <w:szCs w:val="22"/>
          <w:lang w:eastAsia="zh-CN"/>
        </w:rPr>
      </w:pPr>
    </w:p>
    <w:p w14:paraId="38C9DD1C" w14:textId="4063DA5D" w:rsidR="00374802" w:rsidRPr="00130723" w:rsidRDefault="00FC3934" w:rsidP="00374802">
      <w:pPr>
        <w:pStyle w:val="BodyText"/>
        <w:rPr>
          <w:rFonts w:ascii="Times New Roman" w:hAnsi="Times New Roman"/>
          <w:b/>
          <w:bCs/>
          <w:sz w:val="22"/>
          <w:szCs w:val="22"/>
          <w:u w:val="single"/>
        </w:rPr>
      </w:pPr>
      <w:r w:rsidRPr="00130723">
        <w:rPr>
          <w:rFonts w:ascii="Times New Roman" w:hAnsi="Times New Roman"/>
          <w:b/>
          <w:bCs/>
          <w:sz w:val="22"/>
          <w:szCs w:val="22"/>
          <w:u w:val="single"/>
        </w:rPr>
        <w:t>NW-initiated panel selection/activation</w:t>
      </w:r>
    </w:p>
    <w:p w14:paraId="3C1E6F02" w14:textId="1DBE10E6" w:rsidR="00130723" w:rsidRPr="00130723" w:rsidRDefault="00130723" w:rsidP="00374802">
      <w:pPr>
        <w:pStyle w:val="BodyText"/>
        <w:spacing w:after="60"/>
        <w:ind w:firstLine="288"/>
        <w:rPr>
          <w:rFonts w:ascii="Times New Roman" w:hAnsi="Times New Roman"/>
          <w:sz w:val="22"/>
          <w:szCs w:val="22"/>
        </w:rPr>
      </w:pPr>
      <w:r w:rsidRPr="00130723">
        <w:rPr>
          <w:rFonts w:ascii="Times New Roman" w:hAnsi="Times New Roman"/>
          <w:sz w:val="22"/>
          <w:szCs w:val="22"/>
        </w:rPr>
        <w:t xml:space="preserve">In addition to UE-initiated UL panel selection/activation, </w:t>
      </w:r>
      <w:r w:rsidR="00473EE2">
        <w:rPr>
          <w:rFonts w:ascii="Times New Roman" w:hAnsi="Times New Roman"/>
          <w:sz w:val="22"/>
          <w:szCs w:val="22"/>
        </w:rPr>
        <w:t xml:space="preserve">NW-initiated panel selection/activation can be considered. </w:t>
      </w:r>
      <w:r w:rsidR="003802B0">
        <w:rPr>
          <w:rFonts w:ascii="Times New Roman" w:hAnsi="Times New Roman"/>
          <w:sz w:val="22"/>
          <w:szCs w:val="22"/>
        </w:rPr>
        <w:t xml:space="preserve">While UE </w:t>
      </w:r>
      <w:proofErr w:type="gramStart"/>
      <w:r w:rsidR="003802B0">
        <w:rPr>
          <w:rFonts w:ascii="Times New Roman" w:hAnsi="Times New Roman"/>
          <w:sz w:val="22"/>
          <w:szCs w:val="22"/>
        </w:rPr>
        <w:t>is able to</w:t>
      </w:r>
      <w:proofErr w:type="gramEnd"/>
      <w:r w:rsidR="003802B0">
        <w:rPr>
          <w:rFonts w:ascii="Times New Roman" w:hAnsi="Times New Roman"/>
          <w:sz w:val="22"/>
          <w:szCs w:val="22"/>
        </w:rPr>
        <w:t xml:space="preserve"> identify </w:t>
      </w:r>
      <w:r w:rsidR="00643581">
        <w:rPr>
          <w:rFonts w:ascii="Times New Roman" w:hAnsi="Times New Roman"/>
          <w:sz w:val="22"/>
          <w:szCs w:val="22"/>
        </w:rPr>
        <w:t xml:space="preserve">UE-side information </w:t>
      </w:r>
      <w:r w:rsidR="003802B0">
        <w:rPr>
          <w:rFonts w:ascii="Times New Roman" w:hAnsi="Times New Roman"/>
          <w:sz w:val="22"/>
          <w:szCs w:val="22"/>
        </w:rPr>
        <w:t xml:space="preserve">e.g., remaining battery power, MPE and interference from other UEs and gNB, gNB is able to identify </w:t>
      </w:r>
      <w:r w:rsidR="00643581">
        <w:rPr>
          <w:rFonts w:ascii="Times New Roman" w:hAnsi="Times New Roman"/>
          <w:sz w:val="22"/>
          <w:szCs w:val="22"/>
        </w:rPr>
        <w:t>network-side information</w:t>
      </w:r>
      <w:r w:rsidR="00403982">
        <w:rPr>
          <w:rFonts w:ascii="Times New Roman" w:hAnsi="Times New Roman"/>
          <w:sz w:val="22"/>
          <w:szCs w:val="22"/>
        </w:rPr>
        <w:t xml:space="preserve"> e.g., scheduling information and traffic. </w:t>
      </w:r>
      <w:r w:rsidR="00402407">
        <w:rPr>
          <w:rFonts w:ascii="Times New Roman" w:hAnsi="Times New Roman"/>
          <w:sz w:val="22"/>
          <w:szCs w:val="22"/>
        </w:rPr>
        <w:t xml:space="preserve">In that regard, NW-initiated panel selection/activation can be beneficial as well as UE determination. </w:t>
      </w:r>
      <w:r w:rsidR="00D03940">
        <w:rPr>
          <w:rFonts w:ascii="Times New Roman" w:hAnsi="Times New Roman"/>
          <w:sz w:val="22"/>
          <w:szCs w:val="22"/>
        </w:rPr>
        <w:t xml:space="preserve">For example, </w:t>
      </w:r>
      <w:r w:rsidR="00CB0067">
        <w:rPr>
          <w:rFonts w:ascii="Times New Roman" w:hAnsi="Times New Roman"/>
          <w:sz w:val="22"/>
          <w:szCs w:val="22"/>
        </w:rPr>
        <w:t xml:space="preserve">a panel ID can be introduced in a TCI state for joint beam indication and separate UL beam indication. </w:t>
      </w:r>
    </w:p>
    <w:p w14:paraId="375A4BE9" w14:textId="77777777" w:rsidR="002C25EA" w:rsidRPr="00942CDF" w:rsidRDefault="002C25EA" w:rsidP="00374802">
      <w:pPr>
        <w:pStyle w:val="BodyText"/>
        <w:spacing w:after="60"/>
        <w:ind w:firstLine="288"/>
        <w:rPr>
          <w:rFonts w:ascii="Times New Roman" w:hAnsi="Times New Roman"/>
          <w:sz w:val="22"/>
          <w:szCs w:val="22"/>
          <w:highlight w:val="yellow"/>
        </w:rPr>
      </w:pPr>
    </w:p>
    <w:p w14:paraId="78103862" w14:textId="4AA44ABB" w:rsidR="00374802" w:rsidRPr="00987455" w:rsidRDefault="00374802" w:rsidP="00374802">
      <w:pPr>
        <w:spacing w:after="0"/>
        <w:contextualSpacing/>
        <w:jc w:val="both"/>
        <w:rPr>
          <w:i/>
          <w:sz w:val="22"/>
        </w:rPr>
      </w:pPr>
      <w:r w:rsidRPr="00987455">
        <w:rPr>
          <w:b/>
          <w:i/>
          <w:sz w:val="22"/>
        </w:rPr>
        <w:t xml:space="preserve">Observation </w:t>
      </w:r>
      <w:r w:rsidR="002C25EA" w:rsidRPr="00987455">
        <w:rPr>
          <w:b/>
          <w:i/>
          <w:sz w:val="22"/>
        </w:rPr>
        <w:t>1</w:t>
      </w:r>
      <w:r w:rsidR="00643581" w:rsidRPr="00987455">
        <w:rPr>
          <w:b/>
          <w:i/>
          <w:sz w:val="22"/>
        </w:rPr>
        <w:t>2</w:t>
      </w:r>
      <w:r w:rsidRPr="00987455">
        <w:rPr>
          <w:b/>
          <w:i/>
          <w:sz w:val="22"/>
        </w:rPr>
        <w:t>:</w:t>
      </w:r>
      <w:r w:rsidRPr="00987455">
        <w:rPr>
          <w:i/>
          <w:sz w:val="22"/>
        </w:rPr>
        <w:t xml:space="preserve"> </w:t>
      </w:r>
      <w:r w:rsidR="00643581" w:rsidRPr="00987455">
        <w:rPr>
          <w:i/>
          <w:sz w:val="22"/>
        </w:rPr>
        <w:t xml:space="preserve">While UE </w:t>
      </w:r>
      <w:proofErr w:type="gramStart"/>
      <w:r w:rsidR="00643581" w:rsidRPr="00987455">
        <w:rPr>
          <w:i/>
          <w:sz w:val="22"/>
        </w:rPr>
        <w:t>is able to</w:t>
      </w:r>
      <w:proofErr w:type="gramEnd"/>
      <w:r w:rsidR="00643581" w:rsidRPr="00987455">
        <w:rPr>
          <w:i/>
          <w:sz w:val="22"/>
        </w:rPr>
        <w:t xml:space="preserve"> identify </w:t>
      </w:r>
      <w:r w:rsidR="00C74EB4" w:rsidRPr="00987455">
        <w:rPr>
          <w:i/>
          <w:sz w:val="22"/>
        </w:rPr>
        <w:t>UE-side information for panel determination</w:t>
      </w:r>
      <w:r w:rsidR="00643581" w:rsidRPr="00987455">
        <w:rPr>
          <w:i/>
          <w:sz w:val="22"/>
        </w:rPr>
        <w:t xml:space="preserve">, gNB is able to identify </w:t>
      </w:r>
      <w:r w:rsidR="001D2E5B" w:rsidRPr="00987455">
        <w:rPr>
          <w:i/>
          <w:sz w:val="22"/>
        </w:rPr>
        <w:t xml:space="preserve">gNB-side information for panel determination. </w:t>
      </w:r>
    </w:p>
    <w:p w14:paraId="214FF2FA" w14:textId="77777777" w:rsidR="00374802" w:rsidRPr="00987455" w:rsidRDefault="00374802" w:rsidP="00374802">
      <w:pPr>
        <w:spacing w:after="0"/>
        <w:contextualSpacing/>
        <w:jc w:val="both"/>
        <w:rPr>
          <w:b/>
          <w:i/>
          <w:sz w:val="22"/>
        </w:rPr>
      </w:pPr>
    </w:p>
    <w:p w14:paraId="13291F8A" w14:textId="433B3497" w:rsidR="00374802" w:rsidRPr="00987455" w:rsidRDefault="00374802" w:rsidP="00374802">
      <w:pPr>
        <w:spacing w:after="0"/>
        <w:contextualSpacing/>
        <w:jc w:val="both"/>
        <w:rPr>
          <w:bCs/>
          <w:i/>
          <w:sz w:val="22"/>
        </w:rPr>
      </w:pPr>
      <w:r w:rsidRPr="00987455">
        <w:rPr>
          <w:b/>
          <w:i/>
          <w:sz w:val="22"/>
        </w:rPr>
        <w:t xml:space="preserve">Proposal </w:t>
      </w:r>
      <w:r w:rsidR="002C25EA" w:rsidRPr="00987455">
        <w:rPr>
          <w:b/>
          <w:i/>
          <w:sz w:val="22"/>
        </w:rPr>
        <w:t>1</w:t>
      </w:r>
      <w:r w:rsidR="00643581" w:rsidRPr="00987455">
        <w:rPr>
          <w:b/>
          <w:i/>
          <w:sz w:val="22"/>
        </w:rPr>
        <w:t>2</w:t>
      </w:r>
      <w:r w:rsidRPr="00987455">
        <w:rPr>
          <w:b/>
          <w:i/>
          <w:sz w:val="22"/>
        </w:rPr>
        <w:t xml:space="preserve">: </w:t>
      </w:r>
      <w:r w:rsidR="001D2E5B" w:rsidRPr="00987455">
        <w:rPr>
          <w:bCs/>
          <w:i/>
          <w:sz w:val="22"/>
        </w:rPr>
        <w:t>Introduce NW-initiated panel selection/activation in addition to UE-initiated panel selection/activation</w:t>
      </w:r>
      <w:r w:rsidRPr="00987455">
        <w:rPr>
          <w:bCs/>
          <w:i/>
          <w:sz w:val="22"/>
        </w:rPr>
        <w:t>.</w:t>
      </w:r>
    </w:p>
    <w:p w14:paraId="6296698E" w14:textId="3F5C5064" w:rsidR="002C25EA" w:rsidRPr="00942CDF" w:rsidRDefault="002C25EA" w:rsidP="00374802">
      <w:pPr>
        <w:spacing w:after="0"/>
        <w:contextualSpacing/>
        <w:jc w:val="both"/>
        <w:rPr>
          <w:bCs/>
          <w:i/>
          <w:sz w:val="22"/>
          <w:highlight w:val="yellow"/>
        </w:rPr>
      </w:pPr>
    </w:p>
    <w:p w14:paraId="653736B9" w14:textId="72F9918F" w:rsidR="0005502D" w:rsidRPr="00B91B7E" w:rsidRDefault="0005502D"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MPE mitigation</w:t>
      </w:r>
    </w:p>
    <w:p w14:paraId="1297020C" w14:textId="70972867" w:rsidR="006D5067" w:rsidRDefault="006D5067" w:rsidP="006D5067">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Support of UE reporting for MPE mitigation</w:t>
      </w:r>
    </w:p>
    <w:p w14:paraId="1D999271" w14:textId="77777777" w:rsidR="006D5067" w:rsidRDefault="006D5067" w:rsidP="006D5067">
      <w:pPr>
        <w:overflowPunct/>
        <w:autoSpaceDE/>
        <w:autoSpaceDN/>
        <w:adjustRightInd/>
        <w:snapToGrid w:val="0"/>
        <w:spacing w:after="0"/>
        <w:contextualSpacing/>
        <w:textAlignment w:val="auto"/>
        <w:rPr>
          <w:b/>
          <w:bCs/>
          <w:sz w:val="22"/>
          <w:u w:val="single"/>
          <w:lang w:val="en-US" w:eastAsia="x-none"/>
        </w:rPr>
      </w:pPr>
    </w:p>
    <w:p w14:paraId="07C7C062" w14:textId="1529403C" w:rsidR="00FC5AB2" w:rsidRPr="00B91B7E" w:rsidRDefault="00E87343" w:rsidP="00096AD8">
      <w:pPr>
        <w:overflowPunct/>
        <w:autoSpaceDE/>
        <w:autoSpaceDN/>
        <w:adjustRightInd/>
        <w:snapToGrid w:val="0"/>
        <w:spacing w:after="0"/>
        <w:ind w:firstLine="288"/>
        <w:contextualSpacing/>
        <w:textAlignment w:val="auto"/>
        <w:rPr>
          <w:sz w:val="22"/>
          <w:lang w:val="en-US" w:eastAsia="x-none"/>
        </w:rPr>
      </w:pPr>
      <w:r>
        <w:rPr>
          <w:sz w:val="22"/>
          <w:lang w:val="en-US" w:eastAsia="x-none"/>
        </w:rPr>
        <w:t xml:space="preserve">In RAN1#103-e [1], reporting on P-MPR </w:t>
      </w:r>
      <w:r w:rsidR="00060599">
        <w:rPr>
          <w:sz w:val="22"/>
          <w:lang w:val="en-US" w:eastAsia="x-none"/>
        </w:rPr>
        <w:t xml:space="preserve">based on Rel.16 framework </w:t>
      </w:r>
      <w:r>
        <w:rPr>
          <w:sz w:val="22"/>
          <w:lang w:val="en-US" w:eastAsia="x-none"/>
        </w:rPr>
        <w:t xml:space="preserve">and SSBRI(s)/CRI(s) was agreed for further investigation. </w:t>
      </w:r>
      <w:r w:rsidR="009C113F">
        <w:rPr>
          <w:sz w:val="22"/>
          <w:lang w:val="en-US" w:eastAsia="x-none"/>
        </w:rPr>
        <w:t>As</w:t>
      </w:r>
      <w:r w:rsidR="00FC5AB2" w:rsidRPr="00B91B7E">
        <w:rPr>
          <w:sz w:val="22"/>
          <w:lang w:val="en-US" w:eastAsia="x-none"/>
        </w:rPr>
        <w:t xml:space="preserve"> the existing P-</w:t>
      </w:r>
      <w:r w:rsidR="009C113F">
        <w:rPr>
          <w:sz w:val="22"/>
          <w:lang w:val="en-US" w:eastAsia="x-none"/>
        </w:rPr>
        <w:t>M</w:t>
      </w:r>
      <w:r w:rsidR="00FC5AB2" w:rsidRPr="00B91B7E">
        <w:rPr>
          <w:sz w:val="22"/>
          <w:lang w:val="en-US" w:eastAsia="x-none"/>
        </w:rPr>
        <w:t xml:space="preserve">PR reporting has a limitation that the reporting is not able to indicate a panel or a beam which requires the application of P-MPR while the application could be beam or panel specific. Thus, enhanced P-MPR reporting with associated panels or beams should be considered. </w:t>
      </w:r>
      <w:r w:rsidR="00F468C9">
        <w:rPr>
          <w:sz w:val="22"/>
          <w:lang w:val="en-US" w:eastAsia="x-none"/>
        </w:rPr>
        <w:t xml:space="preserve">For example, by reporting SSBRI(s)/CRI(s) associated with a panel ID, gNB can identify P-MPR for a desired panel. </w:t>
      </w:r>
    </w:p>
    <w:p w14:paraId="152C3211" w14:textId="77777777" w:rsidR="00FC5AB2" w:rsidRPr="00B91B7E" w:rsidRDefault="00FC5AB2" w:rsidP="00FC5AB2">
      <w:pPr>
        <w:overflowPunct/>
        <w:autoSpaceDE/>
        <w:autoSpaceDN/>
        <w:adjustRightInd/>
        <w:snapToGrid w:val="0"/>
        <w:spacing w:after="0"/>
        <w:contextualSpacing/>
        <w:textAlignment w:val="auto"/>
        <w:rPr>
          <w:sz w:val="22"/>
          <w:lang w:val="en-US" w:eastAsia="x-none"/>
        </w:rPr>
      </w:pPr>
    </w:p>
    <w:p w14:paraId="5B896E12" w14:textId="5BDDB5CB" w:rsidR="00FC5AB2" w:rsidRPr="00B91B7E" w:rsidRDefault="00FC5AB2" w:rsidP="00FC5AB2">
      <w:pPr>
        <w:spacing w:after="0"/>
        <w:contextualSpacing/>
        <w:jc w:val="both"/>
        <w:rPr>
          <w:i/>
          <w:sz w:val="22"/>
        </w:rPr>
      </w:pPr>
      <w:r w:rsidRPr="00B91B7E">
        <w:rPr>
          <w:b/>
          <w:i/>
          <w:sz w:val="22"/>
        </w:rPr>
        <w:t>Observation 13:</w:t>
      </w:r>
      <w:r w:rsidRPr="00B91B7E">
        <w:rPr>
          <w:i/>
          <w:sz w:val="22"/>
        </w:rPr>
        <w:t xml:space="preserve"> </w:t>
      </w:r>
      <w:r w:rsidR="00F468C9">
        <w:rPr>
          <w:i/>
          <w:sz w:val="22"/>
        </w:rPr>
        <w:t xml:space="preserve">P-MPR reporting based on Rel.16 framework </w:t>
      </w:r>
      <w:r w:rsidRPr="00B91B7E">
        <w:rPr>
          <w:i/>
          <w:sz w:val="22"/>
        </w:rPr>
        <w:t xml:space="preserve">has a limitation that the reporting is not able to indicate a panel or a beam which requires the application of P-MPR. </w:t>
      </w:r>
    </w:p>
    <w:p w14:paraId="425095B6" w14:textId="77777777" w:rsidR="00FC5AB2" w:rsidRPr="00B91B7E" w:rsidRDefault="00FC5AB2" w:rsidP="00FC5AB2">
      <w:pPr>
        <w:spacing w:after="0"/>
        <w:contextualSpacing/>
        <w:jc w:val="both"/>
        <w:rPr>
          <w:b/>
          <w:i/>
          <w:sz w:val="22"/>
        </w:rPr>
      </w:pPr>
    </w:p>
    <w:p w14:paraId="288C338C" w14:textId="6CC13816" w:rsidR="00FC5AB2" w:rsidRPr="00B91B7E" w:rsidRDefault="00FC5AB2" w:rsidP="00FC5AB2">
      <w:pPr>
        <w:spacing w:after="0"/>
        <w:contextualSpacing/>
        <w:jc w:val="both"/>
        <w:rPr>
          <w:bCs/>
          <w:i/>
          <w:sz w:val="22"/>
        </w:rPr>
      </w:pPr>
      <w:r w:rsidRPr="00B91B7E">
        <w:rPr>
          <w:b/>
          <w:i/>
          <w:sz w:val="22"/>
        </w:rPr>
        <w:t>Proposal 1</w:t>
      </w:r>
      <w:r w:rsidR="0038741E">
        <w:rPr>
          <w:b/>
          <w:i/>
          <w:sz w:val="22"/>
        </w:rPr>
        <w:t>3</w:t>
      </w:r>
      <w:r w:rsidRPr="00B91B7E">
        <w:rPr>
          <w:b/>
          <w:i/>
          <w:sz w:val="22"/>
        </w:rPr>
        <w:t xml:space="preserve">: </w:t>
      </w:r>
      <w:r w:rsidR="00F468C9">
        <w:rPr>
          <w:bCs/>
          <w:i/>
          <w:sz w:val="22"/>
        </w:rPr>
        <w:t>Introduce SSBRI(s)/CRI(s) with an associated panel ID</w:t>
      </w:r>
      <w:r w:rsidRPr="00B91B7E">
        <w:rPr>
          <w:bCs/>
          <w:i/>
          <w:sz w:val="22"/>
        </w:rPr>
        <w:t xml:space="preserve">. </w:t>
      </w:r>
    </w:p>
    <w:p w14:paraId="430FC0E7" w14:textId="77777777" w:rsidR="00FC5AB2" w:rsidRDefault="00FC5AB2" w:rsidP="00135F7B">
      <w:pPr>
        <w:overflowPunct/>
        <w:autoSpaceDE/>
        <w:autoSpaceDN/>
        <w:adjustRightInd/>
        <w:snapToGrid w:val="0"/>
        <w:spacing w:after="0"/>
        <w:contextualSpacing/>
        <w:textAlignment w:val="auto"/>
        <w:rPr>
          <w:b/>
          <w:bCs/>
          <w:sz w:val="22"/>
          <w:u w:val="single"/>
          <w:lang w:val="en-US" w:eastAsia="x-none"/>
        </w:rPr>
      </w:pPr>
    </w:p>
    <w:p w14:paraId="03514371" w14:textId="77777777" w:rsidR="00B714B5" w:rsidRPr="00B91B7E" w:rsidRDefault="00B714B5" w:rsidP="00006D5B">
      <w:pPr>
        <w:overflowPunct/>
        <w:autoSpaceDE/>
        <w:autoSpaceDN/>
        <w:adjustRightInd/>
        <w:snapToGrid w:val="0"/>
        <w:spacing w:after="0"/>
        <w:ind w:left="2160"/>
        <w:contextualSpacing/>
        <w:textAlignment w:val="auto"/>
        <w:rPr>
          <w:sz w:val="22"/>
          <w:lang w:val="en-US" w:eastAsia="x-none"/>
        </w:rPr>
      </w:pPr>
    </w:p>
    <w:p w14:paraId="36EA8F41" w14:textId="082D4748" w:rsidR="0003199F" w:rsidRPr="00B91B7E" w:rsidRDefault="00481D77" w:rsidP="00006D5B">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NW confirmation</w:t>
      </w:r>
      <w:r w:rsidR="0003199F" w:rsidRPr="00B91B7E">
        <w:rPr>
          <w:b/>
          <w:bCs/>
          <w:sz w:val="22"/>
          <w:u w:val="single"/>
          <w:lang w:val="en-US" w:eastAsia="x-none"/>
        </w:rPr>
        <w:t xml:space="preserve"> in response to the reported MPE event</w:t>
      </w:r>
    </w:p>
    <w:p w14:paraId="3F5BA79A" w14:textId="17F2028F" w:rsidR="0003199F" w:rsidRPr="00B91B7E" w:rsidRDefault="0003199F">
      <w:pPr>
        <w:rPr>
          <w:lang w:val="en-US"/>
        </w:rPr>
      </w:pPr>
    </w:p>
    <w:p w14:paraId="3A58F8B9" w14:textId="43C582E8" w:rsidR="00682737" w:rsidRPr="00B91B7E" w:rsidRDefault="00682737" w:rsidP="004965CE">
      <w:pPr>
        <w:pStyle w:val="BodyText"/>
        <w:spacing w:after="60"/>
        <w:ind w:firstLine="288"/>
        <w:rPr>
          <w:rFonts w:ascii="Times New Roman" w:hAnsi="Times New Roman"/>
          <w:sz w:val="22"/>
          <w:szCs w:val="22"/>
        </w:rPr>
      </w:pPr>
      <w:r w:rsidRPr="00B91B7E">
        <w:rPr>
          <w:rFonts w:ascii="Times New Roman" w:hAnsi="Times New Roman"/>
          <w:sz w:val="22"/>
          <w:szCs w:val="22"/>
        </w:rPr>
        <w:t xml:space="preserve">When UE-centric determination methods are considered, major concern on the support is </w:t>
      </w:r>
      <w:r w:rsidR="00313E1B" w:rsidRPr="00B91B7E">
        <w:rPr>
          <w:rFonts w:ascii="Times New Roman" w:hAnsi="Times New Roman"/>
          <w:sz w:val="22"/>
          <w:szCs w:val="22"/>
        </w:rPr>
        <w:t xml:space="preserve">a </w:t>
      </w:r>
      <w:r w:rsidRPr="00B91B7E">
        <w:rPr>
          <w:rFonts w:ascii="Times New Roman" w:hAnsi="Times New Roman"/>
          <w:sz w:val="22"/>
          <w:szCs w:val="22"/>
        </w:rPr>
        <w:t xml:space="preserve">mismatch of </w:t>
      </w:r>
      <w:r w:rsidR="006F31A7" w:rsidRPr="00B91B7E">
        <w:rPr>
          <w:rFonts w:ascii="Times New Roman" w:hAnsi="Times New Roman"/>
          <w:sz w:val="22"/>
          <w:szCs w:val="22"/>
        </w:rPr>
        <w:t>bea</w:t>
      </w:r>
      <w:r w:rsidR="00481D77">
        <w:rPr>
          <w:rFonts w:ascii="Times New Roman" w:hAnsi="Times New Roman"/>
          <w:sz w:val="22"/>
          <w:szCs w:val="22"/>
        </w:rPr>
        <w:t>m</w:t>
      </w:r>
      <w:r w:rsidR="006F31A7" w:rsidRPr="00B91B7E">
        <w:rPr>
          <w:rFonts w:ascii="Times New Roman" w:hAnsi="Times New Roman"/>
          <w:sz w:val="22"/>
          <w:szCs w:val="22"/>
        </w:rPr>
        <w:t xml:space="preserve"> information</w:t>
      </w:r>
      <w:r w:rsidRPr="00B91B7E">
        <w:rPr>
          <w:rFonts w:ascii="Times New Roman" w:hAnsi="Times New Roman"/>
          <w:sz w:val="22"/>
          <w:szCs w:val="22"/>
        </w:rPr>
        <w:t xml:space="preserve"> between UE and gNB. For example, when the gNB couldn’t decode UE’s reporting</w:t>
      </w:r>
      <w:r w:rsidR="004C5191" w:rsidRPr="00B91B7E">
        <w:rPr>
          <w:rFonts w:ascii="Times New Roman" w:hAnsi="Times New Roman"/>
          <w:sz w:val="22"/>
          <w:szCs w:val="22"/>
        </w:rPr>
        <w:t xml:space="preserve"> on P-MPR</w:t>
      </w:r>
      <w:r w:rsidRPr="00B91B7E">
        <w:rPr>
          <w:rFonts w:ascii="Times New Roman" w:hAnsi="Times New Roman"/>
          <w:sz w:val="22"/>
          <w:szCs w:val="22"/>
        </w:rPr>
        <w:t xml:space="preserve">, </w:t>
      </w:r>
      <w:r w:rsidR="00A661C9" w:rsidRPr="00B91B7E">
        <w:rPr>
          <w:rFonts w:ascii="Times New Roman" w:hAnsi="Times New Roman"/>
          <w:sz w:val="22"/>
          <w:szCs w:val="22"/>
        </w:rPr>
        <w:t xml:space="preserve">a </w:t>
      </w:r>
      <w:r w:rsidR="00970142" w:rsidRPr="00B91B7E">
        <w:rPr>
          <w:rFonts w:ascii="Times New Roman" w:hAnsi="Times New Roman"/>
          <w:sz w:val="22"/>
          <w:szCs w:val="22"/>
        </w:rPr>
        <w:t xml:space="preserve">different </w:t>
      </w:r>
      <w:r w:rsidR="00A661C9" w:rsidRPr="00B91B7E">
        <w:rPr>
          <w:rFonts w:ascii="Times New Roman" w:hAnsi="Times New Roman"/>
          <w:sz w:val="22"/>
          <w:szCs w:val="22"/>
        </w:rPr>
        <w:t>spatial filter may be applied</w:t>
      </w:r>
      <w:r w:rsidR="008825E3" w:rsidRPr="00B91B7E">
        <w:rPr>
          <w:rFonts w:ascii="Times New Roman" w:hAnsi="Times New Roman"/>
          <w:sz w:val="22"/>
          <w:szCs w:val="22"/>
        </w:rPr>
        <w:t xml:space="preserve"> and </w:t>
      </w:r>
      <w:r w:rsidR="005D057F" w:rsidRPr="00B91B7E">
        <w:rPr>
          <w:rFonts w:ascii="Times New Roman" w:hAnsi="Times New Roman"/>
          <w:sz w:val="22"/>
          <w:szCs w:val="22"/>
        </w:rPr>
        <w:t xml:space="preserve">severely </w:t>
      </w:r>
      <w:r w:rsidR="008825E3" w:rsidRPr="00B91B7E">
        <w:rPr>
          <w:rFonts w:ascii="Times New Roman" w:hAnsi="Times New Roman"/>
          <w:sz w:val="22"/>
          <w:szCs w:val="22"/>
        </w:rPr>
        <w:t>reduce uplink performance</w:t>
      </w:r>
      <w:r w:rsidR="001678DC" w:rsidRPr="00B91B7E">
        <w:rPr>
          <w:rFonts w:ascii="Times New Roman" w:hAnsi="Times New Roman"/>
          <w:sz w:val="22"/>
          <w:szCs w:val="22"/>
        </w:rPr>
        <w:t xml:space="preserve"> due to </w:t>
      </w:r>
      <w:r w:rsidR="00723D0B" w:rsidRPr="00B91B7E">
        <w:rPr>
          <w:rFonts w:ascii="Times New Roman" w:hAnsi="Times New Roman"/>
          <w:sz w:val="22"/>
          <w:szCs w:val="22"/>
        </w:rPr>
        <w:t xml:space="preserve">a </w:t>
      </w:r>
      <w:r w:rsidR="001678DC" w:rsidRPr="00B91B7E">
        <w:rPr>
          <w:rFonts w:ascii="Times New Roman" w:hAnsi="Times New Roman"/>
          <w:sz w:val="22"/>
          <w:szCs w:val="22"/>
        </w:rPr>
        <w:t>loss of antenna gain</w:t>
      </w:r>
      <w:r w:rsidR="008825E3" w:rsidRPr="00B91B7E">
        <w:rPr>
          <w:rFonts w:ascii="Times New Roman" w:hAnsi="Times New Roman"/>
          <w:sz w:val="22"/>
          <w:szCs w:val="22"/>
        </w:rPr>
        <w:t xml:space="preserve">. </w:t>
      </w:r>
      <w:r w:rsidR="00A661C9" w:rsidRPr="00B91B7E">
        <w:rPr>
          <w:rFonts w:ascii="Times New Roman" w:hAnsi="Times New Roman"/>
          <w:sz w:val="22"/>
          <w:szCs w:val="22"/>
        </w:rPr>
        <w:t xml:space="preserve"> </w:t>
      </w:r>
      <w:r w:rsidR="00B166E8" w:rsidRPr="00B91B7E">
        <w:rPr>
          <w:rFonts w:ascii="Times New Roman" w:hAnsi="Times New Roman"/>
          <w:sz w:val="22"/>
          <w:szCs w:val="22"/>
        </w:rPr>
        <w:t xml:space="preserve">In that regard, </w:t>
      </w:r>
      <w:r w:rsidR="00025AB9" w:rsidRPr="00B91B7E">
        <w:rPr>
          <w:rFonts w:ascii="Times New Roman" w:hAnsi="Times New Roman"/>
          <w:sz w:val="22"/>
          <w:szCs w:val="22"/>
        </w:rPr>
        <w:t>a gNB confirmation can be considered</w:t>
      </w:r>
      <w:r w:rsidR="00131443" w:rsidRPr="00B91B7E">
        <w:rPr>
          <w:rFonts w:ascii="Times New Roman" w:hAnsi="Times New Roman"/>
          <w:sz w:val="22"/>
          <w:szCs w:val="22"/>
        </w:rPr>
        <w:t xml:space="preserve"> to align the understanding</w:t>
      </w:r>
      <w:r w:rsidR="00025AB9" w:rsidRPr="00B91B7E">
        <w:rPr>
          <w:rFonts w:ascii="Times New Roman" w:hAnsi="Times New Roman"/>
          <w:sz w:val="22"/>
          <w:szCs w:val="22"/>
        </w:rPr>
        <w:t xml:space="preserve">. For example, the gNB may transmit a PDCCH in a dedicated CORESET as a confirmation of the UE reporting on P-MPR. </w:t>
      </w:r>
    </w:p>
    <w:p w14:paraId="311D87F6" w14:textId="54F5A9C7" w:rsidR="005D057F" w:rsidRPr="00B91B7E" w:rsidRDefault="005D057F" w:rsidP="004965CE">
      <w:pPr>
        <w:pStyle w:val="BodyText"/>
        <w:spacing w:after="60"/>
        <w:ind w:firstLine="288"/>
        <w:rPr>
          <w:rFonts w:ascii="Times New Roman" w:hAnsi="Times New Roman"/>
          <w:sz w:val="22"/>
          <w:szCs w:val="22"/>
        </w:rPr>
      </w:pPr>
    </w:p>
    <w:p w14:paraId="7C0B5121" w14:textId="17142BA1" w:rsidR="005D057F" w:rsidRPr="00B91B7E" w:rsidRDefault="005D057F" w:rsidP="005D057F">
      <w:pPr>
        <w:spacing w:after="0"/>
        <w:contextualSpacing/>
        <w:jc w:val="both"/>
        <w:rPr>
          <w:i/>
          <w:sz w:val="22"/>
        </w:rPr>
      </w:pPr>
      <w:r w:rsidRPr="00B91B7E">
        <w:rPr>
          <w:b/>
          <w:i/>
          <w:sz w:val="22"/>
        </w:rPr>
        <w:t>Observation 14:</w:t>
      </w:r>
      <w:r w:rsidRPr="00B91B7E">
        <w:rPr>
          <w:i/>
          <w:sz w:val="22"/>
        </w:rPr>
        <w:t xml:space="preserve"> Possible mismatch of beam information between UE and gNB may severely degrade uplink performance. </w:t>
      </w:r>
    </w:p>
    <w:p w14:paraId="59344C9B" w14:textId="77777777" w:rsidR="005D057F" w:rsidRPr="00B91B7E" w:rsidRDefault="005D057F" w:rsidP="005D057F">
      <w:pPr>
        <w:spacing w:after="0"/>
        <w:contextualSpacing/>
        <w:jc w:val="both"/>
        <w:rPr>
          <w:b/>
          <w:i/>
          <w:sz w:val="22"/>
        </w:rPr>
      </w:pPr>
    </w:p>
    <w:p w14:paraId="466BCC9F" w14:textId="02A55866" w:rsidR="005D057F" w:rsidRPr="00B91B7E" w:rsidRDefault="005D057F" w:rsidP="005D057F">
      <w:pPr>
        <w:spacing w:after="0"/>
        <w:contextualSpacing/>
        <w:jc w:val="both"/>
        <w:rPr>
          <w:bCs/>
          <w:i/>
          <w:sz w:val="22"/>
        </w:rPr>
      </w:pPr>
      <w:r w:rsidRPr="00B91B7E">
        <w:rPr>
          <w:b/>
          <w:i/>
          <w:sz w:val="22"/>
        </w:rPr>
        <w:t>Proposal 1</w:t>
      </w:r>
      <w:r w:rsidR="003940DD">
        <w:rPr>
          <w:b/>
          <w:i/>
          <w:sz w:val="22"/>
        </w:rPr>
        <w:t>4</w:t>
      </w:r>
      <w:r w:rsidRPr="00B91B7E">
        <w:rPr>
          <w:b/>
          <w:i/>
          <w:sz w:val="22"/>
        </w:rPr>
        <w:t xml:space="preserve">: </w:t>
      </w:r>
      <w:r w:rsidR="00BB5C6E" w:rsidRPr="00B91B7E">
        <w:rPr>
          <w:bCs/>
          <w:i/>
          <w:sz w:val="22"/>
        </w:rPr>
        <w:t>Consider gNB confirmation mechanism to align beam information between UE and gNB.</w:t>
      </w:r>
      <w:r w:rsidRPr="00B91B7E">
        <w:rPr>
          <w:bCs/>
          <w:i/>
          <w:sz w:val="22"/>
        </w:rPr>
        <w:t xml:space="preserve"> </w:t>
      </w:r>
    </w:p>
    <w:p w14:paraId="6F7F2715" w14:textId="77777777" w:rsidR="005D057F" w:rsidRPr="00B91B7E" w:rsidRDefault="005D057F" w:rsidP="00006D5B">
      <w:pPr>
        <w:pStyle w:val="BodyText"/>
        <w:spacing w:after="60"/>
        <w:ind w:firstLine="288"/>
        <w:rPr>
          <w:rFonts w:ascii="Times New Roman" w:hAnsi="Times New Roman"/>
          <w:sz w:val="22"/>
          <w:szCs w:val="22"/>
          <w:lang w:val="en-GB"/>
        </w:rPr>
      </w:pPr>
    </w:p>
    <w:p w14:paraId="4EAB9447" w14:textId="28E12D1D" w:rsidR="00C4142E" w:rsidRPr="00B91B7E" w:rsidRDefault="00C4142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lastRenderedPageBreak/>
        <w:t>Conclusions</w:t>
      </w:r>
    </w:p>
    <w:p w14:paraId="276459C3" w14:textId="2A6148E6" w:rsidR="00C4142E" w:rsidRPr="00B91B7E" w:rsidRDefault="00A66C9D" w:rsidP="00E913CF">
      <w:pPr>
        <w:pStyle w:val="BodyText"/>
        <w:spacing w:after="0"/>
        <w:rPr>
          <w:rFonts w:ascii="Times New Roman" w:eastAsiaTheme="minorEastAsia" w:hAnsi="Times New Roman"/>
          <w:sz w:val="22"/>
          <w:szCs w:val="22"/>
          <w:lang w:eastAsia="zh-CN"/>
        </w:rPr>
      </w:pPr>
      <w:r w:rsidRPr="00B91B7E">
        <w:rPr>
          <w:rFonts w:ascii="Times New Roman" w:eastAsiaTheme="minorEastAsia" w:hAnsi="Times New Roman"/>
          <w:sz w:val="22"/>
          <w:szCs w:val="22"/>
          <w:lang w:eastAsia="zh-CN"/>
        </w:rPr>
        <w:t>T</w:t>
      </w:r>
      <w:r w:rsidR="00C4142E" w:rsidRPr="00B91B7E">
        <w:rPr>
          <w:rFonts w:ascii="Times New Roman" w:eastAsiaTheme="minorEastAsia" w:hAnsi="Times New Roman"/>
          <w:sz w:val="22"/>
          <w:szCs w:val="22"/>
          <w:lang w:eastAsia="zh-CN"/>
        </w:rPr>
        <w:t xml:space="preserve">his contribution discussed potential enhancement </w:t>
      </w:r>
      <w:r w:rsidR="000E63A0" w:rsidRPr="00B91B7E">
        <w:rPr>
          <w:rFonts w:ascii="Times New Roman" w:eastAsiaTheme="minorEastAsia" w:hAnsi="Times New Roman"/>
          <w:sz w:val="22"/>
          <w:szCs w:val="22"/>
          <w:lang w:eastAsia="zh-CN"/>
        </w:rPr>
        <w:t xml:space="preserve">for </w:t>
      </w:r>
      <w:r w:rsidR="006E0FB7">
        <w:rPr>
          <w:rFonts w:ascii="Times New Roman" w:eastAsiaTheme="minorEastAsia" w:hAnsi="Times New Roman"/>
          <w:sz w:val="22"/>
          <w:szCs w:val="22"/>
          <w:lang w:eastAsia="zh-CN"/>
        </w:rPr>
        <w:t>Rel-17 beam manageme</w:t>
      </w:r>
      <w:r w:rsidR="004D27F3">
        <w:rPr>
          <w:rFonts w:ascii="Times New Roman" w:eastAsiaTheme="minorEastAsia" w:hAnsi="Times New Roman"/>
          <w:sz w:val="22"/>
          <w:szCs w:val="22"/>
          <w:lang w:eastAsia="zh-CN"/>
        </w:rPr>
        <w:t>n</w:t>
      </w:r>
      <w:r w:rsidR="006E0FB7">
        <w:rPr>
          <w:rFonts w:ascii="Times New Roman" w:eastAsiaTheme="minorEastAsia" w:hAnsi="Times New Roman"/>
          <w:sz w:val="22"/>
          <w:szCs w:val="22"/>
          <w:lang w:eastAsia="zh-CN"/>
        </w:rPr>
        <w:t>t</w:t>
      </w:r>
      <w:r w:rsidR="000E63A0" w:rsidRPr="00B91B7E">
        <w:rPr>
          <w:rFonts w:ascii="Times New Roman" w:eastAsiaTheme="minorEastAsia" w:hAnsi="Times New Roman"/>
          <w:sz w:val="22"/>
          <w:szCs w:val="22"/>
          <w:lang w:eastAsia="zh-CN"/>
        </w:rPr>
        <w:t>. Based on the presented discussion, we make the following observations and proposals,</w:t>
      </w:r>
    </w:p>
    <w:p w14:paraId="76F8A29C" w14:textId="77777777" w:rsidR="00A66C9D" w:rsidRPr="00B91B7E" w:rsidRDefault="00A66C9D" w:rsidP="00E913CF">
      <w:pPr>
        <w:spacing w:after="0"/>
        <w:contextualSpacing/>
        <w:jc w:val="both"/>
        <w:rPr>
          <w:b/>
          <w:i/>
          <w:sz w:val="22"/>
        </w:rPr>
      </w:pPr>
    </w:p>
    <w:p w14:paraId="3F7F2A45" w14:textId="25BE0CA4" w:rsidR="004D27F3" w:rsidRDefault="004D27F3" w:rsidP="005A6B80">
      <w:pPr>
        <w:spacing w:after="0" w:line="276" w:lineRule="auto"/>
        <w:contextualSpacing/>
        <w:jc w:val="both"/>
        <w:rPr>
          <w:i/>
          <w:sz w:val="22"/>
        </w:rPr>
      </w:pPr>
      <w:r w:rsidRPr="00B91B7E">
        <w:rPr>
          <w:b/>
          <w:bCs/>
          <w:i/>
          <w:sz w:val="22"/>
        </w:rPr>
        <w:t xml:space="preserve">Observation 1: </w:t>
      </w:r>
      <w:r>
        <w:rPr>
          <w:i/>
          <w:sz w:val="22"/>
        </w:rPr>
        <w:t>Performance benefits from group-common DCI for L1-based beam indication are not clear as FR2 beam is narrow so that chances for simultaneous transmission can be rare events</w:t>
      </w:r>
      <w:r w:rsidRPr="00B91B7E">
        <w:rPr>
          <w:i/>
          <w:sz w:val="22"/>
        </w:rPr>
        <w:t>.</w:t>
      </w:r>
    </w:p>
    <w:p w14:paraId="68701CA4" w14:textId="02B5361A" w:rsidR="005A6B80" w:rsidRDefault="005A6B80" w:rsidP="005A6B80">
      <w:pPr>
        <w:spacing w:after="0" w:line="276" w:lineRule="auto"/>
        <w:contextualSpacing/>
        <w:jc w:val="both"/>
        <w:rPr>
          <w:i/>
          <w:sz w:val="22"/>
        </w:rPr>
      </w:pPr>
      <w:r w:rsidRPr="00B91B7E">
        <w:rPr>
          <w:b/>
          <w:bCs/>
          <w:i/>
          <w:sz w:val="22"/>
        </w:rPr>
        <w:t xml:space="preserve">Observation </w:t>
      </w:r>
      <w:r>
        <w:rPr>
          <w:b/>
          <w:bCs/>
          <w:i/>
          <w:sz w:val="22"/>
        </w:rPr>
        <w:t>2</w:t>
      </w:r>
      <w:r w:rsidRPr="00B91B7E">
        <w:rPr>
          <w:b/>
          <w:bCs/>
          <w:i/>
          <w:sz w:val="22"/>
        </w:rPr>
        <w:t xml:space="preserve">: </w:t>
      </w:r>
      <w:r>
        <w:rPr>
          <w:i/>
          <w:sz w:val="22"/>
        </w:rPr>
        <w:t>For separate UL beam indication, utilization of existing UL DCI formats</w:t>
      </w:r>
      <w:r w:rsidR="00F61ACB">
        <w:rPr>
          <w:i/>
          <w:sz w:val="22"/>
        </w:rPr>
        <w:t xml:space="preserve"> 0_1 and 0_2</w:t>
      </w:r>
      <w:r>
        <w:rPr>
          <w:i/>
          <w:sz w:val="22"/>
        </w:rPr>
        <w:t xml:space="preserve"> is more efficient as it </w:t>
      </w:r>
      <w:proofErr w:type="gramStart"/>
      <w:r>
        <w:rPr>
          <w:i/>
          <w:sz w:val="22"/>
        </w:rPr>
        <w:t>doesn’t</w:t>
      </w:r>
      <w:proofErr w:type="gramEnd"/>
      <w:r>
        <w:rPr>
          <w:i/>
          <w:sz w:val="22"/>
        </w:rPr>
        <w:t xml:space="preserve"> require multiple PDCCH decoding and combined UE processing </w:t>
      </w:r>
      <w:r w:rsidR="00117514">
        <w:rPr>
          <w:i/>
          <w:sz w:val="22"/>
        </w:rPr>
        <w:t xml:space="preserve">time is possible </w:t>
      </w:r>
      <w:r>
        <w:rPr>
          <w:i/>
          <w:sz w:val="22"/>
        </w:rPr>
        <w:t xml:space="preserve">if UE </w:t>
      </w:r>
      <w:r w:rsidR="00975A86">
        <w:rPr>
          <w:i/>
          <w:sz w:val="22"/>
        </w:rPr>
        <w:t>implementation allows simultaneous processing</w:t>
      </w:r>
      <w:r w:rsidRPr="00B91B7E">
        <w:rPr>
          <w:i/>
          <w:sz w:val="22"/>
        </w:rPr>
        <w:t>.</w:t>
      </w:r>
    </w:p>
    <w:p w14:paraId="5D4D827A" w14:textId="77777777" w:rsidR="005A6B80" w:rsidRPr="00B91B7E" w:rsidRDefault="005A6B80" w:rsidP="005A6B80">
      <w:pPr>
        <w:spacing w:after="0" w:line="276" w:lineRule="auto"/>
        <w:contextualSpacing/>
        <w:jc w:val="both"/>
        <w:rPr>
          <w:i/>
          <w:sz w:val="22"/>
        </w:rPr>
      </w:pPr>
      <w:r w:rsidRPr="00B91B7E">
        <w:rPr>
          <w:b/>
          <w:bCs/>
          <w:i/>
          <w:sz w:val="22"/>
        </w:rPr>
        <w:t xml:space="preserve">Observation </w:t>
      </w:r>
      <w:r>
        <w:rPr>
          <w:b/>
          <w:bCs/>
          <w:i/>
          <w:sz w:val="22"/>
        </w:rPr>
        <w:t>3</w:t>
      </w:r>
      <w:r w:rsidRPr="00B91B7E">
        <w:rPr>
          <w:b/>
          <w:bCs/>
          <w:i/>
          <w:sz w:val="22"/>
        </w:rPr>
        <w:t xml:space="preserve">: </w:t>
      </w:r>
      <w:r>
        <w:rPr>
          <w:i/>
          <w:sz w:val="22"/>
        </w:rPr>
        <w:t>As UE transmits PUCCH for ACK/NACK of beam indication with previously indicated beam, UE’s beam changing procedure initiates after sending the PUCCH not after decoding PDCCH which provides L1-based beam indication</w:t>
      </w:r>
      <w:r w:rsidRPr="00B91B7E">
        <w:rPr>
          <w:i/>
          <w:sz w:val="22"/>
        </w:rPr>
        <w:t>.</w:t>
      </w:r>
    </w:p>
    <w:p w14:paraId="2999962C" w14:textId="17393B90" w:rsidR="005A6B80" w:rsidRPr="00B91B7E" w:rsidRDefault="005A6B80" w:rsidP="005A6B80">
      <w:pPr>
        <w:spacing w:after="0" w:line="276" w:lineRule="auto"/>
        <w:contextualSpacing/>
        <w:jc w:val="both"/>
        <w:rPr>
          <w:i/>
          <w:sz w:val="22"/>
        </w:rPr>
      </w:pPr>
      <w:r w:rsidRPr="00B91B7E">
        <w:rPr>
          <w:b/>
          <w:bCs/>
          <w:i/>
          <w:sz w:val="22"/>
        </w:rPr>
        <w:t xml:space="preserve">Observation </w:t>
      </w:r>
      <w:r>
        <w:rPr>
          <w:b/>
          <w:bCs/>
          <w:i/>
          <w:sz w:val="22"/>
        </w:rPr>
        <w:t>4</w:t>
      </w:r>
      <w:r w:rsidRPr="00B91B7E">
        <w:rPr>
          <w:b/>
          <w:bCs/>
          <w:i/>
          <w:sz w:val="22"/>
        </w:rPr>
        <w:t xml:space="preserve">: </w:t>
      </w:r>
      <w:r>
        <w:rPr>
          <w:i/>
          <w:sz w:val="22"/>
        </w:rPr>
        <w:t>As DCI formats 1_1 and 1_2 are not dedicated formats for beam indication, but for PDSCH scheduling, DCI formats 1_1 and 1_2 can schedule PDSCHs without any new beam indication</w:t>
      </w:r>
      <w:r w:rsidR="00117514">
        <w:rPr>
          <w:i/>
          <w:sz w:val="22"/>
        </w:rPr>
        <w:t xml:space="preserve"> </w:t>
      </w:r>
      <w:r w:rsidR="00117514" w:rsidRPr="00117514">
        <w:rPr>
          <w:i/>
          <w:sz w:val="22"/>
        </w:rPr>
        <w:t>(i.e., indicating an identical beam with previously indicated beam)</w:t>
      </w:r>
      <w:r w:rsidRPr="00B91B7E">
        <w:rPr>
          <w:i/>
          <w:sz w:val="22"/>
        </w:rPr>
        <w:t>.</w:t>
      </w:r>
    </w:p>
    <w:p w14:paraId="58DCBC27" w14:textId="77777777" w:rsidR="005A6B80" w:rsidRPr="00B91B7E" w:rsidRDefault="005A6B80" w:rsidP="005A6B80">
      <w:pPr>
        <w:spacing w:after="0" w:line="276" w:lineRule="auto"/>
        <w:contextualSpacing/>
        <w:jc w:val="both"/>
        <w:rPr>
          <w:i/>
          <w:sz w:val="22"/>
        </w:rPr>
      </w:pPr>
      <w:r w:rsidRPr="00B91B7E">
        <w:rPr>
          <w:b/>
          <w:bCs/>
          <w:i/>
          <w:sz w:val="22"/>
        </w:rPr>
        <w:t xml:space="preserve">Observation </w:t>
      </w:r>
      <w:r>
        <w:rPr>
          <w:b/>
          <w:bCs/>
          <w:i/>
          <w:sz w:val="22"/>
        </w:rPr>
        <w:t>5</w:t>
      </w:r>
      <w:r w:rsidRPr="00B91B7E">
        <w:rPr>
          <w:b/>
          <w:bCs/>
          <w:i/>
          <w:sz w:val="22"/>
        </w:rPr>
        <w:t xml:space="preserve">: </w:t>
      </w:r>
      <w:r w:rsidRPr="00B91B7E">
        <w:rPr>
          <w:i/>
          <w:sz w:val="22"/>
        </w:rPr>
        <w:t>Introduction of SRS in DL TCI state provide</w:t>
      </w:r>
      <w:r>
        <w:rPr>
          <w:i/>
          <w:sz w:val="22"/>
        </w:rPr>
        <w:t>s</w:t>
      </w:r>
      <w:r w:rsidRPr="00B91B7E">
        <w:rPr>
          <w:i/>
          <w:sz w:val="22"/>
        </w:rPr>
        <w:t xml:space="preserve"> performance benefits based on beam correspondence, less signaling overhead and more accurate beam information.</w:t>
      </w:r>
    </w:p>
    <w:p w14:paraId="4AC571FE" w14:textId="597FD8DD" w:rsidR="005A6B80" w:rsidRPr="00B91B7E" w:rsidRDefault="005A6B80" w:rsidP="005A6B80">
      <w:pPr>
        <w:spacing w:after="0" w:line="276" w:lineRule="auto"/>
        <w:contextualSpacing/>
        <w:jc w:val="both"/>
        <w:rPr>
          <w:i/>
          <w:sz w:val="22"/>
        </w:rPr>
      </w:pPr>
      <w:r w:rsidRPr="00B91B7E">
        <w:rPr>
          <w:b/>
          <w:bCs/>
          <w:i/>
          <w:sz w:val="22"/>
        </w:rPr>
        <w:t xml:space="preserve">Observation </w:t>
      </w:r>
      <w:r>
        <w:rPr>
          <w:b/>
          <w:bCs/>
          <w:i/>
          <w:sz w:val="22"/>
        </w:rPr>
        <w:t>6</w:t>
      </w:r>
      <w:r w:rsidRPr="00B91B7E">
        <w:rPr>
          <w:b/>
          <w:bCs/>
          <w:i/>
          <w:sz w:val="22"/>
        </w:rPr>
        <w:t xml:space="preserve">: </w:t>
      </w:r>
      <w:r w:rsidRPr="00B91B7E">
        <w:rPr>
          <w:i/>
          <w:sz w:val="22"/>
        </w:rPr>
        <w:t>Rel-15 UL power control mechanism allows beam-specific power controls by having a set of power control parameters associated with an SRI.</w:t>
      </w:r>
    </w:p>
    <w:p w14:paraId="518BD4B9" w14:textId="77777777" w:rsidR="005A6B80" w:rsidRPr="00B91B7E" w:rsidRDefault="005A6B80" w:rsidP="005A6B80">
      <w:pPr>
        <w:spacing w:after="0" w:line="276" w:lineRule="auto"/>
        <w:contextualSpacing/>
        <w:jc w:val="both"/>
        <w:rPr>
          <w:i/>
          <w:sz w:val="22"/>
        </w:rPr>
      </w:pPr>
      <w:r w:rsidRPr="00B91B7E">
        <w:rPr>
          <w:b/>
          <w:i/>
          <w:sz w:val="22"/>
        </w:rPr>
        <w:t xml:space="preserve">Observation </w:t>
      </w:r>
      <w:r>
        <w:rPr>
          <w:b/>
          <w:i/>
          <w:sz w:val="22"/>
        </w:rPr>
        <w:t>7</w:t>
      </w:r>
      <w:r w:rsidRPr="00B91B7E">
        <w:rPr>
          <w:b/>
          <w:i/>
          <w:sz w:val="22"/>
        </w:rPr>
        <w:t>:</w:t>
      </w:r>
      <w:r w:rsidRPr="00B91B7E">
        <w:rPr>
          <w:i/>
          <w:sz w:val="22"/>
        </w:rPr>
        <w:t xml:space="preserve"> While SSB provides efficient beam measurement without additional signaling overheads, existing beam measurement framework does not allow SSB based beam measurement.</w:t>
      </w:r>
    </w:p>
    <w:p w14:paraId="3EF75BCB" w14:textId="77777777" w:rsidR="005A6B80" w:rsidRPr="00B91B7E" w:rsidRDefault="005A6B80" w:rsidP="005A6B80">
      <w:pPr>
        <w:spacing w:after="0" w:line="276" w:lineRule="auto"/>
        <w:contextualSpacing/>
        <w:jc w:val="both"/>
        <w:rPr>
          <w:i/>
          <w:sz w:val="22"/>
        </w:rPr>
      </w:pPr>
      <w:r w:rsidRPr="00B91B7E">
        <w:rPr>
          <w:b/>
          <w:i/>
          <w:sz w:val="22"/>
        </w:rPr>
        <w:t xml:space="preserve">Observation </w:t>
      </w:r>
      <w:r>
        <w:rPr>
          <w:b/>
          <w:i/>
          <w:sz w:val="22"/>
        </w:rPr>
        <w:t>8</w:t>
      </w:r>
      <w:r w:rsidRPr="00B91B7E">
        <w:rPr>
          <w:b/>
          <w:i/>
          <w:sz w:val="22"/>
        </w:rPr>
        <w:t>:</w:t>
      </w:r>
      <w:r w:rsidRPr="00B91B7E">
        <w:rPr>
          <w:i/>
          <w:sz w:val="22"/>
        </w:rPr>
        <w:t xml:space="preserve"> Existing TCI state does not allow beam indication based on a reference signal from other cells than serving cells.</w:t>
      </w:r>
    </w:p>
    <w:p w14:paraId="0B729C15" w14:textId="77777777" w:rsidR="005A6B80" w:rsidRPr="00B91B7E" w:rsidRDefault="005A6B80" w:rsidP="005A6B80">
      <w:pPr>
        <w:spacing w:after="0" w:line="276" w:lineRule="auto"/>
        <w:contextualSpacing/>
        <w:jc w:val="both"/>
        <w:rPr>
          <w:i/>
          <w:sz w:val="22"/>
        </w:rPr>
      </w:pPr>
      <w:r w:rsidRPr="00B91B7E">
        <w:rPr>
          <w:b/>
          <w:bCs/>
          <w:i/>
          <w:sz w:val="22"/>
        </w:rPr>
        <w:t xml:space="preserve">Observation </w:t>
      </w:r>
      <w:r>
        <w:rPr>
          <w:b/>
          <w:bCs/>
          <w:i/>
          <w:sz w:val="22"/>
        </w:rPr>
        <w:t>9</w:t>
      </w:r>
      <w:r w:rsidRPr="00B91B7E">
        <w:rPr>
          <w:b/>
          <w:bCs/>
          <w:i/>
          <w:sz w:val="22"/>
        </w:rPr>
        <w:t>:</w:t>
      </w:r>
      <w:r w:rsidRPr="00B91B7E">
        <w:rPr>
          <w:i/>
          <w:sz w:val="22"/>
        </w:rPr>
        <w:t xml:space="preserve"> Beam failure recovery is an essential procedure which provides reliability and enables standalone operation of FR2.</w:t>
      </w:r>
    </w:p>
    <w:p w14:paraId="475C780D" w14:textId="77777777" w:rsidR="005A6B80" w:rsidRPr="00B91B7E" w:rsidRDefault="005A6B80" w:rsidP="005A6B80">
      <w:pPr>
        <w:spacing w:after="0" w:line="276" w:lineRule="auto"/>
        <w:contextualSpacing/>
        <w:jc w:val="both"/>
        <w:rPr>
          <w:i/>
          <w:sz w:val="22"/>
        </w:rPr>
      </w:pPr>
      <w:r w:rsidRPr="00B91B7E">
        <w:rPr>
          <w:b/>
          <w:bCs/>
          <w:i/>
          <w:sz w:val="22"/>
        </w:rPr>
        <w:t xml:space="preserve">Observation </w:t>
      </w:r>
      <w:r>
        <w:rPr>
          <w:b/>
          <w:bCs/>
          <w:i/>
          <w:sz w:val="22"/>
        </w:rPr>
        <w:t>10</w:t>
      </w:r>
      <w:r w:rsidRPr="00B91B7E">
        <w:rPr>
          <w:b/>
          <w:bCs/>
          <w:i/>
          <w:sz w:val="22"/>
        </w:rPr>
        <w:t xml:space="preserve">: </w:t>
      </w:r>
      <w:r w:rsidRPr="00B91B7E">
        <w:rPr>
          <w:i/>
          <w:sz w:val="22"/>
        </w:rPr>
        <w:t>As number of cells to be monitored, selected and reported increases, UE implementation complexity and power consumption also increase.</w:t>
      </w:r>
    </w:p>
    <w:p w14:paraId="352EDB34" w14:textId="5E1EA10A" w:rsidR="005A6B80" w:rsidRPr="00B91B7E" w:rsidRDefault="005A6B80" w:rsidP="005A6B80">
      <w:pPr>
        <w:spacing w:after="0" w:line="276" w:lineRule="auto"/>
        <w:contextualSpacing/>
        <w:jc w:val="both"/>
        <w:rPr>
          <w:i/>
          <w:sz w:val="22"/>
        </w:rPr>
      </w:pPr>
      <w:r w:rsidRPr="00B91B7E">
        <w:rPr>
          <w:b/>
          <w:bCs/>
          <w:i/>
          <w:sz w:val="22"/>
        </w:rPr>
        <w:t xml:space="preserve">Observation </w:t>
      </w:r>
      <w:r>
        <w:rPr>
          <w:b/>
          <w:bCs/>
          <w:i/>
          <w:sz w:val="22"/>
        </w:rPr>
        <w:t>11</w:t>
      </w:r>
      <w:r w:rsidRPr="00B91B7E">
        <w:rPr>
          <w:b/>
          <w:bCs/>
          <w:i/>
          <w:sz w:val="22"/>
        </w:rPr>
        <w:t xml:space="preserve">: </w:t>
      </w:r>
      <w:r>
        <w:rPr>
          <w:i/>
          <w:sz w:val="22"/>
        </w:rPr>
        <w:t>CSI reporting can be a good method to indicate UE’s panel selection</w:t>
      </w:r>
      <w:r w:rsidR="00117514">
        <w:rPr>
          <w:i/>
          <w:sz w:val="22"/>
        </w:rPr>
        <w:t>/activation</w:t>
      </w:r>
      <w:r>
        <w:rPr>
          <w:i/>
          <w:sz w:val="22"/>
        </w:rPr>
        <w:t xml:space="preserve"> with simple specification impact</w:t>
      </w:r>
      <w:r w:rsidRPr="00B91B7E">
        <w:rPr>
          <w:i/>
          <w:sz w:val="22"/>
        </w:rPr>
        <w:t>.</w:t>
      </w:r>
    </w:p>
    <w:p w14:paraId="3E6E1FEE" w14:textId="77777777" w:rsidR="005A6B80" w:rsidRPr="00987455" w:rsidRDefault="005A6B80" w:rsidP="005A6B80">
      <w:pPr>
        <w:spacing w:after="0" w:line="276" w:lineRule="auto"/>
        <w:contextualSpacing/>
        <w:jc w:val="both"/>
        <w:rPr>
          <w:i/>
          <w:sz w:val="22"/>
        </w:rPr>
      </w:pPr>
      <w:r w:rsidRPr="00987455">
        <w:rPr>
          <w:b/>
          <w:i/>
          <w:sz w:val="22"/>
        </w:rPr>
        <w:t>Observation 12:</w:t>
      </w:r>
      <w:r w:rsidRPr="00987455">
        <w:rPr>
          <w:i/>
          <w:sz w:val="22"/>
        </w:rPr>
        <w:t xml:space="preserve"> While UE </w:t>
      </w:r>
      <w:proofErr w:type="gramStart"/>
      <w:r w:rsidRPr="00987455">
        <w:rPr>
          <w:i/>
          <w:sz w:val="22"/>
        </w:rPr>
        <w:t>is able to</w:t>
      </w:r>
      <w:proofErr w:type="gramEnd"/>
      <w:r w:rsidRPr="00987455">
        <w:rPr>
          <w:i/>
          <w:sz w:val="22"/>
        </w:rPr>
        <w:t xml:space="preserve"> identify UE-side information for panel determination, gNB is able to identify gNB-side information for panel determination. </w:t>
      </w:r>
    </w:p>
    <w:p w14:paraId="415A6D3E" w14:textId="1DF40D1E" w:rsidR="005A6B80" w:rsidRPr="00B91B7E" w:rsidRDefault="005A6B80" w:rsidP="005A6B80">
      <w:pPr>
        <w:spacing w:after="0" w:line="276" w:lineRule="auto"/>
        <w:contextualSpacing/>
        <w:jc w:val="both"/>
        <w:rPr>
          <w:i/>
          <w:sz w:val="22"/>
        </w:rPr>
      </w:pPr>
      <w:r w:rsidRPr="00B91B7E">
        <w:rPr>
          <w:b/>
          <w:i/>
          <w:sz w:val="22"/>
        </w:rPr>
        <w:t>Observation 13:</w:t>
      </w:r>
      <w:r w:rsidRPr="00B91B7E">
        <w:rPr>
          <w:i/>
          <w:sz w:val="22"/>
        </w:rPr>
        <w:t xml:space="preserve"> </w:t>
      </w:r>
      <w:r>
        <w:rPr>
          <w:i/>
          <w:sz w:val="22"/>
        </w:rPr>
        <w:t xml:space="preserve">P-MPR reporting based on Rel.16 framework </w:t>
      </w:r>
      <w:r w:rsidRPr="00B91B7E">
        <w:rPr>
          <w:i/>
          <w:sz w:val="22"/>
        </w:rPr>
        <w:t xml:space="preserve">has a limitation that the reporting is not able to indicate a panel or a beam which requires the application of P-MPR. </w:t>
      </w:r>
    </w:p>
    <w:p w14:paraId="31E761A5" w14:textId="77777777" w:rsidR="005A6B80" w:rsidRPr="00B91B7E" w:rsidRDefault="005A6B80" w:rsidP="005A6B80">
      <w:pPr>
        <w:spacing w:after="0" w:line="276" w:lineRule="auto"/>
        <w:contextualSpacing/>
        <w:jc w:val="both"/>
        <w:rPr>
          <w:i/>
          <w:sz w:val="22"/>
        </w:rPr>
      </w:pPr>
      <w:r w:rsidRPr="00B91B7E">
        <w:rPr>
          <w:b/>
          <w:i/>
          <w:sz w:val="22"/>
        </w:rPr>
        <w:t>Observation 14:</w:t>
      </w:r>
      <w:r w:rsidRPr="00B91B7E">
        <w:rPr>
          <w:i/>
          <w:sz w:val="22"/>
        </w:rPr>
        <w:t xml:space="preserve"> Possible mismatch of beam information between UE and gNB may severely degrade uplink performance. </w:t>
      </w:r>
    </w:p>
    <w:p w14:paraId="51C3BD99" w14:textId="451DA948" w:rsidR="005A6B80" w:rsidRPr="00B91B7E" w:rsidRDefault="005A6B80" w:rsidP="005A6B80">
      <w:pPr>
        <w:tabs>
          <w:tab w:val="left" w:pos="2680"/>
        </w:tabs>
        <w:spacing w:after="0" w:line="276" w:lineRule="auto"/>
        <w:contextualSpacing/>
        <w:jc w:val="both"/>
        <w:rPr>
          <w:i/>
          <w:sz w:val="22"/>
        </w:rPr>
      </w:pPr>
    </w:p>
    <w:p w14:paraId="78532FE4" w14:textId="2F7E4512" w:rsidR="004D27F3" w:rsidRDefault="004D27F3" w:rsidP="005A6B80">
      <w:pPr>
        <w:spacing w:after="0" w:line="276" w:lineRule="auto"/>
        <w:contextualSpacing/>
        <w:jc w:val="both"/>
        <w:rPr>
          <w:bCs/>
          <w:i/>
          <w:sz w:val="22"/>
        </w:rPr>
      </w:pPr>
      <w:r w:rsidRPr="00B91B7E">
        <w:rPr>
          <w:b/>
          <w:i/>
          <w:sz w:val="22"/>
        </w:rPr>
        <w:t>Proposal 1:</w:t>
      </w:r>
      <w:r w:rsidRPr="00B91B7E">
        <w:rPr>
          <w:bCs/>
          <w:i/>
          <w:sz w:val="22"/>
        </w:rPr>
        <w:t xml:space="preserve"> </w:t>
      </w:r>
      <w:r>
        <w:rPr>
          <w:bCs/>
          <w:i/>
          <w:sz w:val="22"/>
        </w:rPr>
        <w:t>L1-based beam indication with group-common DCI is not supported</w:t>
      </w:r>
      <w:r w:rsidRPr="00B91B7E">
        <w:rPr>
          <w:bCs/>
          <w:i/>
          <w:sz w:val="22"/>
        </w:rPr>
        <w:t>.</w:t>
      </w:r>
    </w:p>
    <w:p w14:paraId="1A2C8208" w14:textId="107F3D53" w:rsidR="005A6B80" w:rsidRDefault="005A6B80" w:rsidP="005A6B80">
      <w:pPr>
        <w:spacing w:after="0" w:line="276" w:lineRule="auto"/>
        <w:contextualSpacing/>
        <w:jc w:val="both"/>
        <w:rPr>
          <w:bCs/>
          <w:i/>
          <w:sz w:val="22"/>
        </w:rPr>
      </w:pPr>
      <w:r w:rsidRPr="00B91B7E">
        <w:rPr>
          <w:b/>
          <w:i/>
          <w:sz w:val="22"/>
        </w:rPr>
        <w:t xml:space="preserve">Proposal </w:t>
      </w:r>
      <w:r>
        <w:rPr>
          <w:b/>
          <w:i/>
          <w:sz w:val="22"/>
        </w:rPr>
        <w:t>2</w:t>
      </w:r>
      <w:r w:rsidRPr="00B91B7E">
        <w:rPr>
          <w:b/>
          <w:i/>
          <w:sz w:val="22"/>
        </w:rPr>
        <w:t>:</w:t>
      </w:r>
      <w:r w:rsidRPr="00B91B7E">
        <w:rPr>
          <w:bCs/>
          <w:i/>
          <w:sz w:val="22"/>
        </w:rPr>
        <w:t xml:space="preserve"> </w:t>
      </w:r>
      <w:r>
        <w:rPr>
          <w:bCs/>
          <w:i/>
          <w:sz w:val="22"/>
        </w:rPr>
        <w:t>For separate UL beam indication, utilization of the existing UL DCI formats 0_1 and 0_2 is preferred.</w:t>
      </w:r>
    </w:p>
    <w:p w14:paraId="15B3564D" w14:textId="77777777" w:rsidR="005A6B80" w:rsidRDefault="005A6B80" w:rsidP="005A6B80">
      <w:pPr>
        <w:spacing w:after="0" w:line="276" w:lineRule="auto"/>
        <w:contextualSpacing/>
        <w:jc w:val="both"/>
        <w:rPr>
          <w:bCs/>
          <w:i/>
          <w:sz w:val="22"/>
        </w:rPr>
      </w:pPr>
      <w:r w:rsidRPr="00B91B7E">
        <w:rPr>
          <w:b/>
          <w:i/>
          <w:sz w:val="22"/>
        </w:rPr>
        <w:t xml:space="preserve">Proposal </w:t>
      </w:r>
      <w:r>
        <w:rPr>
          <w:b/>
          <w:i/>
          <w:sz w:val="22"/>
        </w:rPr>
        <w:t>3</w:t>
      </w:r>
      <w:r w:rsidRPr="00B91B7E">
        <w:rPr>
          <w:b/>
          <w:i/>
          <w:sz w:val="22"/>
        </w:rPr>
        <w:t>:</w:t>
      </w:r>
      <w:r w:rsidRPr="00B91B7E">
        <w:rPr>
          <w:bCs/>
          <w:i/>
          <w:sz w:val="22"/>
        </w:rPr>
        <w:t xml:space="preserve"> </w:t>
      </w:r>
      <w:r>
        <w:rPr>
          <w:bCs/>
          <w:i/>
          <w:sz w:val="22"/>
        </w:rPr>
        <w:t xml:space="preserve">For beam application time, </w:t>
      </w:r>
      <w:r w:rsidRPr="00545161">
        <w:rPr>
          <w:bCs/>
          <w:i/>
          <w:sz w:val="22"/>
        </w:rPr>
        <w:t>the first slot that is at least X ms or Y symbols after the acknowledgment of the joint or separate DL/UL beam indication</w:t>
      </w:r>
      <w:r>
        <w:rPr>
          <w:bCs/>
          <w:i/>
          <w:sz w:val="22"/>
        </w:rPr>
        <w:t xml:space="preserve"> (Alt 2) should be supported.</w:t>
      </w:r>
    </w:p>
    <w:p w14:paraId="46B138DD" w14:textId="77777777" w:rsidR="005A6B80" w:rsidRDefault="005A6B80" w:rsidP="005A6B80">
      <w:pPr>
        <w:spacing w:after="0" w:line="276" w:lineRule="auto"/>
        <w:contextualSpacing/>
        <w:jc w:val="both"/>
        <w:rPr>
          <w:bCs/>
          <w:i/>
          <w:sz w:val="22"/>
        </w:rPr>
      </w:pPr>
      <w:r w:rsidRPr="00B91B7E">
        <w:rPr>
          <w:b/>
          <w:i/>
          <w:sz w:val="22"/>
        </w:rPr>
        <w:t xml:space="preserve">Proposal </w:t>
      </w:r>
      <w:r>
        <w:rPr>
          <w:b/>
          <w:i/>
          <w:sz w:val="22"/>
        </w:rPr>
        <w:t>4</w:t>
      </w:r>
      <w:r w:rsidRPr="00B91B7E">
        <w:rPr>
          <w:b/>
          <w:i/>
          <w:sz w:val="22"/>
        </w:rPr>
        <w:t>:</w:t>
      </w:r>
      <w:r w:rsidRPr="00B91B7E">
        <w:rPr>
          <w:bCs/>
          <w:i/>
          <w:sz w:val="22"/>
        </w:rPr>
        <w:t xml:space="preserve"> </w:t>
      </w:r>
      <w:r>
        <w:rPr>
          <w:bCs/>
          <w:i/>
          <w:sz w:val="22"/>
        </w:rPr>
        <w:t>If DCI formats 1_1 and 1_2 indicate identical beam with previously indicated beam, the indicated beam can be applied to DL and UL without any application time.</w:t>
      </w:r>
    </w:p>
    <w:p w14:paraId="6FB80EC6" w14:textId="77777777" w:rsidR="005A6B80" w:rsidRDefault="005A6B80" w:rsidP="005A6B80">
      <w:pPr>
        <w:spacing w:after="0" w:line="276" w:lineRule="auto"/>
        <w:contextualSpacing/>
        <w:jc w:val="both"/>
        <w:rPr>
          <w:bCs/>
          <w:i/>
          <w:sz w:val="22"/>
        </w:rPr>
      </w:pPr>
      <w:r w:rsidRPr="00B91B7E">
        <w:rPr>
          <w:b/>
          <w:i/>
          <w:sz w:val="22"/>
        </w:rPr>
        <w:t xml:space="preserve">Proposal </w:t>
      </w:r>
      <w:r>
        <w:rPr>
          <w:b/>
          <w:i/>
          <w:sz w:val="22"/>
        </w:rPr>
        <w:t>5</w:t>
      </w:r>
      <w:r w:rsidRPr="00B91B7E">
        <w:rPr>
          <w:b/>
          <w:i/>
          <w:sz w:val="22"/>
        </w:rPr>
        <w:t>:</w:t>
      </w:r>
      <w:r w:rsidRPr="00B91B7E">
        <w:rPr>
          <w:bCs/>
          <w:i/>
          <w:sz w:val="22"/>
        </w:rPr>
        <w:t xml:space="preserve"> </w:t>
      </w:r>
      <w:r>
        <w:rPr>
          <w:bCs/>
          <w:i/>
          <w:sz w:val="22"/>
        </w:rPr>
        <w:t>In order to consider various UE implementations, it is preferred to consider UE capability by supporting a UE capability for the minimum value of beam application time (Alt 1).</w:t>
      </w:r>
    </w:p>
    <w:p w14:paraId="383CD172" w14:textId="77777777" w:rsidR="005A6B80" w:rsidRPr="00B91B7E" w:rsidRDefault="005A6B80" w:rsidP="005A6B80">
      <w:pPr>
        <w:spacing w:after="0" w:line="276" w:lineRule="auto"/>
        <w:contextualSpacing/>
        <w:jc w:val="both"/>
        <w:rPr>
          <w:bCs/>
          <w:i/>
          <w:sz w:val="22"/>
        </w:rPr>
      </w:pPr>
      <w:r w:rsidRPr="00B91B7E">
        <w:rPr>
          <w:b/>
          <w:i/>
          <w:sz w:val="22"/>
        </w:rPr>
        <w:lastRenderedPageBreak/>
        <w:t xml:space="preserve">Proposal </w:t>
      </w:r>
      <w:r>
        <w:rPr>
          <w:b/>
          <w:i/>
          <w:sz w:val="22"/>
        </w:rPr>
        <w:t>6</w:t>
      </w:r>
      <w:r w:rsidRPr="00B91B7E">
        <w:rPr>
          <w:b/>
          <w:i/>
          <w:sz w:val="22"/>
        </w:rPr>
        <w:t>:</w:t>
      </w:r>
      <w:r w:rsidRPr="00B91B7E">
        <w:rPr>
          <w:bCs/>
          <w:i/>
          <w:sz w:val="22"/>
        </w:rPr>
        <w:t xml:space="preserve"> DL TCI state based on SRS for beam measurement should be supported.</w:t>
      </w:r>
    </w:p>
    <w:p w14:paraId="1D02F216" w14:textId="77777777" w:rsidR="005A6B80" w:rsidRPr="00B91B7E" w:rsidRDefault="005A6B80" w:rsidP="005A6B80">
      <w:pPr>
        <w:spacing w:after="0" w:line="276" w:lineRule="auto"/>
        <w:contextualSpacing/>
        <w:jc w:val="both"/>
        <w:rPr>
          <w:bCs/>
          <w:i/>
          <w:sz w:val="22"/>
        </w:rPr>
      </w:pPr>
      <w:r w:rsidRPr="00B91B7E">
        <w:rPr>
          <w:b/>
          <w:i/>
          <w:sz w:val="22"/>
        </w:rPr>
        <w:t xml:space="preserve">Proposal </w:t>
      </w:r>
      <w:r>
        <w:rPr>
          <w:b/>
          <w:i/>
          <w:sz w:val="22"/>
        </w:rPr>
        <w:t>7</w:t>
      </w:r>
      <w:r w:rsidRPr="00B91B7E">
        <w:rPr>
          <w:b/>
          <w:i/>
          <w:sz w:val="22"/>
        </w:rPr>
        <w:t>:</w:t>
      </w:r>
      <w:r w:rsidRPr="00B91B7E">
        <w:rPr>
          <w:bCs/>
          <w:i/>
          <w:sz w:val="22"/>
        </w:rPr>
        <w:t xml:space="preserve"> At least pathloss RS, P0/alpha set and closed-loop index should be </w:t>
      </w:r>
      <w:r>
        <w:rPr>
          <w:bCs/>
          <w:i/>
          <w:sz w:val="22"/>
        </w:rPr>
        <w:t>supported as a component of</w:t>
      </w:r>
      <w:r w:rsidRPr="00B91B7E">
        <w:rPr>
          <w:bCs/>
          <w:i/>
          <w:sz w:val="22"/>
        </w:rPr>
        <w:t xml:space="preserve"> joint TCI. </w:t>
      </w:r>
    </w:p>
    <w:p w14:paraId="7C604E93" w14:textId="6D169717" w:rsidR="005A6B80" w:rsidRPr="00B91B7E" w:rsidRDefault="005A6B80" w:rsidP="005A6B80">
      <w:pPr>
        <w:spacing w:after="0" w:line="276" w:lineRule="auto"/>
        <w:contextualSpacing/>
        <w:jc w:val="both"/>
        <w:rPr>
          <w:bCs/>
          <w:i/>
          <w:sz w:val="22"/>
        </w:rPr>
      </w:pPr>
      <w:r w:rsidRPr="00B91B7E">
        <w:rPr>
          <w:b/>
          <w:i/>
          <w:sz w:val="22"/>
        </w:rPr>
        <w:t xml:space="preserve">Proposal </w:t>
      </w:r>
      <w:r>
        <w:rPr>
          <w:b/>
          <w:i/>
          <w:sz w:val="22"/>
        </w:rPr>
        <w:t>8</w:t>
      </w:r>
      <w:r w:rsidRPr="00B91B7E">
        <w:rPr>
          <w:b/>
          <w:i/>
          <w:sz w:val="22"/>
        </w:rPr>
        <w:t xml:space="preserve">: </w:t>
      </w:r>
      <w:r w:rsidRPr="00B91B7E">
        <w:rPr>
          <w:bCs/>
          <w:i/>
          <w:sz w:val="22"/>
        </w:rPr>
        <w:t>SSB based beam measurement for inter-cell operation should be considered.</w:t>
      </w:r>
    </w:p>
    <w:p w14:paraId="75E05CFF" w14:textId="75A0BE1F" w:rsidR="005A6B80" w:rsidRDefault="005A6B80" w:rsidP="005A6B80">
      <w:pPr>
        <w:spacing w:after="0" w:line="276" w:lineRule="auto"/>
        <w:contextualSpacing/>
        <w:jc w:val="both"/>
        <w:rPr>
          <w:bCs/>
          <w:i/>
          <w:sz w:val="22"/>
        </w:rPr>
      </w:pPr>
      <w:r w:rsidRPr="00B91B7E">
        <w:rPr>
          <w:b/>
          <w:i/>
          <w:sz w:val="22"/>
        </w:rPr>
        <w:t xml:space="preserve">Proposal </w:t>
      </w:r>
      <w:r>
        <w:rPr>
          <w:b/>
          <w:i/>
          <w:sz w:val="22"/>
        </w:rPr>
        <w:t>9</w:t>
      </w:r>
      <w:r w:rsidRPr="00B91B7E">
        <w:rPr>
          <w:b/>
          <w:i/>
          <w:sz w:val="22"/>
        </w:rPr>
        <w:t>:</w:t>
      </w:r>
      <w:r w:rsidRPr="00B91B7E">
        <w:rPr>
          <w:bCs/>
          <w:i/>
          <w:sz w:val="22"/>
        </w:rPr>
        <w:t xml:space="preserve"> An indication of a reference signal from other cells than serving cells should be considered in TCI state for inter-cell operation.</w:t>
      </w:r>
    </w:p>
    <w:p w14:paraId="5533AC00" w14:textId="77777777" w:rsidR="005A6B80" w:rsidRPr="00B91B7E" w:rsidRDefault="005A6B80" w:rsidP="005A6B80">
      <w:pPr>
        <w:spacing w:after="0" w:line="276" w:lineRule="auto"/>
        <w:contextualSpacing/>
        <w:jc w:val="both"/>
        <w:rPr>
          <w:bCs/>
          <w:i/>
          <w:sz w:val="22"/>
        </w:rPr>
      </w:pPr>
      <w:r w:rsidRPr="00B91B7E">
        <w:rPr>
          <w:b/>
          <w:i/>
          <w:sz w:val="22"/>
        </w:rPr>
        <w:t xml:space="preserve">Proposal </w:t>
      </w:r>
      <w:r>
        <w:rPr>
          <w:b/>
          <w:i/>
          <w:sz w:val="22"/>
        </w:rPr>
        <w:t>10</w:t>
      </w:r>
      <w:r w:rsidRPr="00B91B7E">
        <w:rPr>
          <w:b/>
          <w:i/>
          <w:sz w:val="22"/>
        </w:rPr>
        <w:t>:</w:t>
      </w:r>
      <w:r w:rsidRPr="00B91B7E">
        <w:rPr>
          <w:bCs/>
          <w:i/>
          <w:sz w:val="22"/>
        </w:rPr>
        <w:t xml:space="preserve"> Efficient beam failure recovery operation for inter-cell operation should be supported.</w:t>
      </w:r>
    </w:p>
    <w:p w14:paraId="3E5A170C" w14:textId="662D19DC" w:rsidR="005A6B80" w:rsidRPr="00B91B7E" w:rsidRDefault="005A6B80" w:rsidP="005A6B80">
      <w:pPr>
        <w:spacing w:after="0" w:line="276" w:lineRule="auto"/>
        <w:contextualSpacing/>
        <w:jc w:val="both"/>
        <w:rPr>
          <w:bCs/>
          <w:i/>
          <w:sz w:val="22"/>
        </w:rPr>
      </w:pPr>
      <w:r w:rsidRPr="00B91B7E">
        <w:rPr>
          <w:b/>
          <w:i/>
          <w:sz w:val="22"/>
        </w:rPr>
        <w:t xml:space="preserve">Proposal </w:t>
      </w:r>
      <w:r>
        <w:rPr>
          <w:b/>
          <w:i/>
          <w:sz w:val="22"/>
        </w:rPr>
        <w:t>11</w:t>
      </w:r>
      <w:r w:rsidRPr="00B91B7E">
        <w:rPr>
          <w:b/>
          <w:i/>
          <w:sz w:val="22"/>
        </w:rPr>
        <w:t>:</w:t>
      </w:r>
      <w:r w:rsidRPr="00B91B7E">
        <w:rPr>
          <w:bCs/>
          <w:i/>
          <w:sz w:val="22"/>
        </w:rPr>
        <w:t xml:space="preserve"> </w:t>
      </w:r>
      <w:r>
        <w:rPr>
          <w:bCs/>
          <w:i/>
          <w:sz w:val="22"/>
        </w:rPr>
        <w:t>Introduce panel ID in a CSI-RS resource</w:t>
      </w:r>
      <w:r w:rsidR="00117514">
        <w:rPr>
          <w:bCs/>
          <w:i/>
          <w:sz w:val="22"/>
        </w:rPr>
        <w:t xml:space="preserve"> for CSI reporting based on UE-initiated UL panel selection/activation</w:t>
      </w:r>
      <w:r w:rsidRPr="00B91B7E">
        <w:rPr>
          <w:bCs/>
          <w:i/>
          <w:sz w:val="22"/>
        </w:rPr>
        <w:t>.</w:t>
      </w:r>
    </w:p>
    <w:p w14:paraId="218FC7D0" w14:textId="381C852D" w:rsidR="005A6B80" w:rsidRPr="00987455" w:rsidRDefault="005A6B80" w:rsidP="005A6B80">
      <w:pPr>
        <w:spacing w:after="0" w:line="276" w:lineRule="auto"/>
        <w:contextualSpacing/>
        <w:jc w:val="both"/>
        <w:rPr>
          <w:bCs/>
          <w:i/>
          <w:sz w:val="22"/>
        </w:rPr>
      </w:pPr>
      <w:r w:rsidRPr="00987455">
        <w:rPr>
          <w:b/>
          <w:i/>
          <w:sz w:val="22"/>
        </w:rPr>
        <w:t>Proposal</w:t>
      </w:r>
      <w:r>
        <w:rPr>
          <w:b/>
          <w:i/>
          <w:sz w:val="22"/>
        </w:rPr>
        <w:t xml:space="preserve"> </w:t>
      </w:r>
      <w:r w:rsidRPr="00987455">
        <w:rPr>
          <w:b/>
          <w:i/>
          <w:sz w:val="22"/>
        </w:rPr>
        <w:t xml:space="preserve">12: </w:t>
      </w:r>
      <w:r w:rsidRPr="00987455">
        <w:rPr>
          <w:bCs/>
          <w:i/>
          <w:sz w:val="22"/>
        </w:rPr>
        <w:t>Introduce NW-initiated panel selection/activation in addition to UE-initiated panel selection/activation.</w:t>
      </w:r>
    </w:p>
    <w:p w14:paraId="6775A013" w14:textId="77777777" w:rsidR="005A6B80" w:rsidRPr="00B91B7E" w:rsidRDefault="005A6B80" w:rsidP="005A6B80">
      <w:pPr>
        <w:spacing w:after="0" w:line="276" w:lineRule="auto"/>
        <w:contextualSpacing/>
        <w:jc w:val="both"/>
        <w:rPr>
          <w:bCs/>
          <w:i/>
          <w:sz w:val="22"/>
        </w:rPr>
      </w:pPr>
      <w:r w:rsidRPr="00B91B7E">
        <w:rPr>
          <w:b/>
          <w:i/>
          <w:sz w:val="22"/>
        </w:rPr>
        <w:t>Proposal 1</w:t>
      </w:r>
      <w:r>
        <w:rPr>
          <w:b/>
          <w:i/>
          <w:sz w:val="22"/>
        </w:rPr>
        <w:t>3</w:t>
      </w:r>
      <w:r w:rsidRPr="00B91B7E">
        <w:rPr>
          <w:b/>
          <w:i/>
          <w:sz w:val="22"/>
        </w:rPr>
        <w:t xml:space="preserve">: </w:t>
      </w:r>
      <w:r>
        <w:rPr>
          <w:bCs/>
          <w:i/>
          <w:sz w:val="22"/>
        </w:rPr>
        <w:t>Introduce SSBRI(s)/CRI(s) with an associated panel ID</w:t>
      </w:r>
      <w:r w:rsidRPr="00B91B7E">
        <w:rPr>
          <w:bCs/>
          <w:i/>
          <w:sz w:val="22"/>
        </w:rPr>
        <w:t xml:space="preserve">. </w:t>
      </w:r>
    </w:p>
    <w:p w14:paraId="69B7F3AC" w14:textId="77777777" w:rsidR="005A6B80" w:rsidRPr="00B91B7E" w:rsidRDefault="005A6B80" w:rsidP="002419AB">
      <w:pPr>
        <w:spacing w:after="120" w:line="276" w:lineRule="auto"/>
        <w:contextualSpacing/>
        <w:jc w:val="both"/>
        <w:rPr>
          <w:bCs/>
          <w:i/>
          <w:sz w:val="22"/>
        </w:rPr>
      </w:pPr>
      <w:r w:rsidRPr="00B91B7E">
        <w:rPr>
          <w:b/>
          <w:i/>
          <w:sz w:val="22"/>
        </w:rPr>
        <w:t>Proposal 1</w:t>
      </w:r>
      <w:r>
        <w:rPr>
          <w:b/>
          <w:i/>
          <w:sz w:val="22"/>
        </w:rPr>
        <w:t>4</w:t>
      </w:r>
      <w:r w:rsidRPr="00B91B7E">
        <w:rPr>
          <w:b/>
          <w:i/>
          <w:sz w:val="22"/>
        </w:rPr>
        <w:t xml:space="preserve">: </w:t>
      </w:r>
      <w:r w:rsidRPr="00B91B7E">
        <w:rPr>
          <w:bCs/>
          <w:i/>
          <w:sz w:val="22"/>
        </w:rPr>
        <w:t xml:space="preserve">Consider gNB confirmation mechanism to align beam information between UE and gNB. </w:t>
      </w:r>
    </w:p>
    <w:p w14:paraId="32220EEF" w14:textId="77777777" w:rsidR="00C4142E" w:rsidRPr="00B91B7E" w:rsidRDefault="00C4142E" w:rsidP="00C06D45">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References</w:t>
      </w:r>
    </w:p>
    <w:p w14:paraId="5FDEBD73" w14:textId="5FBC10E7" w:rsidR="00234B99" w:rsidRPr="006972B2" w:rsidRDefault="004B58CA" w:rsidP="009B4198">
      <w:pPr>
        <w:pStyle w:val="BodyText"/>
        <w:numPr>
          <w:ilvl w:val="0"/>
          <w:numId w:val="11"/>
        </w:numPr>
        <w:overflowPunct/>
        <w:autoSpaceDE/>
        <w:autoSpaceDN/>
        <w:adjustRightInd/>
        <w:spacing w:after="0"/>
        <w:contextualSpacing/>
        <w:textAlignment w:val="auto"/>
        <w:rPr>
          <w:rFonts w:ascii="Times New Roman" w:hAnsi="Times New Roman"/>
          <w:sz w:val="22"/>
        </w:rPr>
      </w:pPr>
      <w:r w:rsidRPr="006972B2">
        <w:rPr>
          <w:rFonts w:ascii="Times New Roman" w:hAnsi="Times New Roman"/>
          <w:sz w:val="22"/>
          <w:szCs w:val="20"/>
        </w:rPr>
        <w:t>“Final Report of 3GPP TSG RAN WG1 #10</w:t>
      </w:r>
      <w:r w:rsidR="00F103AB" w:rsidRPr="006972B2">
        <w:rPr>
          <w:rFonts w:ascii="Times New Roman" w:hAnsi="Times New Roman"/>
          <w:sz w:val="22"/>
          <w:szCs w:val="20"/>
        </w:rPr>
        <w:t>3</w:t>
      </w:r>
      <w:r w:rsidRPr="006972B2">
        <w:rPr>
          <w:rFonts w:ascii="Times New Roman" w:hAnsi="Times New Roman"/>
          <w:sz w:val="22"/>
          <w:szCs w:val="20"/>
        </w:rPr>
        <w:t>-e”, 3GPP RAN1 Meeting #10</w:t>
      </w:r>
      <w:r w:rsidR="005A6B80" w:rsidRPr="006972B2">
        <w:rPr>
          <w:rFonts w:ascii="Times New Roman" w:hAnsi="Times New Roman"/>
          <w:sz w:val="22"/>
          <w:szCs w:val="20"/>
        </w:rPr>
        <w:t>3</w:t>
      </w:r>
      <w:r w:rsidRPr="006972B2">
        <w:rPr>
          <w:rFonts w:ascii="Times New Roman" w:hAnsi="Times New Roman"/>
          <w:sz w:val="22"/>
          <w:szCs w:val="20"/>
        </w:rPr>
        <w:t xml:space="preserve">-e, e-Meeting, </w:t>
      </w:r>
      <w:r w:rsidR="00662D8F" w:rsidRPr="006972B2">
        <w:rPr>
          <w:rFonts w:ascii="Times New Roman" w:hAnsi="Times New Roman"/>
          <w:sz w:val="22"/>
          <w:szCs w:val="20"/>
        </w:rPr>
        <w:t>October 26</w:t>
      </w:r>
      <w:r w:rsidRPr="006972B2">
        <w:rPr>
          <w:rFonts w:ascii="Times New Roman" w:hAnsi="Times New Roman"/>
          <w:sz w:val="22"/>
          <w:szCs w:val="20"/>
          <w:vertAlign w:val="superscript"/>
        </w:rPr>
        <w:t>th</w:t>
      </w:r>
      <w:r w:rsidR="00747CDD" w:rsidRPr="006972B2">
        <w:rPr>
          <w:rFonts w:ascii="Times New Roman" w:hAnsi="Times New Roman"/>
          <w:sz w:val="22"/>
          <w:szCs w:val="20"/>
        </w:rPr>
        <w:t xml:space="preserve"> </w:t>
      </w:r>
      <w:r w:rsidRPr="006972B2">
        <w:rPr>
          <w:rFonts w:ascii="Times New Roman" w:hAnsi="Times New Roman"/>
          <w:sz w:val="22"/>
          <w:szCs w:val="20"/>
        </w:rPr>
        <w:t xml:space="preserve">– </w:t>
      </w:r>
      <w:r w:rsidR="00662D8F" w:rsidRPr="006972B2">
        <w:rPr>
          <w:rFonts w:ascii="Times New Roman" w:hAnsi="Times New Roman"/>
          <w:sz w:val="22"/>
          <w:szCs w:val="20"/>
        </w:rPr>
        <w:t>November 13</w:t>
      </w:r>
      <w:r w:rsidRPr="006972B2">
        <w:rPr>
          <w:rFonts w:ascii="Times New Roman" w:hAnsi="Times New Roman"/>
          <w:sz w:val="22"/>
          <w:szCs w:val="20"/>
          <w:vertAlign w:val="superscript"/>
        </w:rPr>
        <w:t>th</w:t>
      </w:r>
      <w:r w:rsidR="00662D8F" w:rsidRPr="006972B2">
        <w:rPr>
          <w:rFonts w:ascii="Times New Roman" w:hAnsi="Times New Roman"/>
          <w:sz w:val="22"/>
          <w:szCs w:val="20"/>
        </w:rPr>
        <w:t>,</w:t>
      </w:r>
      <w:r w:rsidRPr="006972B2">
        <w:rPr>
          <w:rFonts w:ascii="Times New Roman" w:hAnsi="Times New Roman"/>
          <w:sz w:val="22"/>
          <w:szCs w:val="20"/>
        </w:rPr>
        <w:t xml:space="preserve"> 2020</w:t>
      </w:r>
      <w:r w:rsidR="00CA7101" w:rsidRPr="006972B2">
        <w:rPr>
          <w:rFonts w:ascii="Times New Roman" w:hAnsi="Times New Roman"/>
          <w:sz w:val="22"/>
        </w:rPr>
        <w:t>.</w:t>
      </w:r>
    </w:p>
    <w:p w14:paraId="25A5ACF5" w14:textId="3CC710E9" w:rsidR="000E63A0" w:rsidRPr="00B91B7E" w:rsidRDefault="000E63A0" w:rsidP="000E63A0">
      <w:pPr>
        <w:pStyle w:val="Reference"/>
        <w:overflowPunct/>
        <w:autoSpaceDE/>
        <w:spacing w:after="0"/>
        <w:contextualSpacing/>
        <w:jc w:val="both"/>
        <w:textAlignment w:val="auto"/>
      </w:pPr>
    </w:p>
    <w:p w14:paraId="5FE8F131" w14:textId="77777777" w:rsidR="000E63A0" w:rsidRPr="00B91B7E" w:rsidRDefault="000E63A0" w:rsidP="002F0CAC">
      <w:pPr>
        <w:pStyle w:val="Reference"/>
        <w:overflowPunct/>
        <w:autoSpaceDE/>
        <w:spacing w:after="0"/>
        <w:contextualSpacing/>
        <w:jc w:val="both"/>
        <w:textAlignment w:val="auto"/>
      </w:pPr>
    </w:p>
    <w:sectPr w:rsidR="000E63A0" w:rsidRPr="00B91B7E"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78531" w14:textId="77777777" w:rsidR="00A108A7" w:rsidRDefault="00A108A7">
      <w:r>
        <w:separator/>
      </w:r>
    </w:p>
  </w:endnote>
  <w:endnote w:type="continuationSeparator" w:id="0">
    <w:p w14:paraId="6AE259D1" w14:textId="77777777" w:rsidR="00A108A7" w:rsidRDefault="00A10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5E15A4" w:rsidRDefault="005E15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5E15A4" w:rsidRDefault="005E15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5E15A4" w:rsidRDefault="005E15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8449E" w14:textId="77777777" w:rsidR="00A108A7" w:rsidRDefault="00A108A7">
      <w:r>
        <w:separator/>
      </w:r>
    </w:p>
  </w:footnote>
  <w:footnote w:type="continuationSeparator" w:id="0">
    <w:p w14:paraId="4967E645" w14:textId="77777777" w:rsidR="00A108A7" w:rsidRDefault="00A10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5E15A4" w:rsidRDefault="005E15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C774DD"/>
    <w:multiLevelType w:val="hybridMultilevel"/>
    <w:tmpl w:val="0B504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27056"/>
    <w:multiLevelType w:val="hybridMultilevel"/>
    <w:tmpl w:val="2092F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7E6069"/>
    <w:multiLevelType w:val="hybridMultilevel"/>
    <w:tmpl w:val="694E4C58"/>
    <w:lvl w:ilvl="0" w:tplc="04090001">
      <w:start w:val="1"/>
      <w:numFmt w:val="bullet"/>
      <w:lvlText w:val=""/>
      <w:lvlJc w:val="left"/>
      <w:pPr>
        <w:ind w:left="760" w:hanging="360"/>
      </w:pPr>
      <w:rPr>
        <w:rFonts w:ascii="Symbol" w:hAnsi="Symbol" w:hint="default"/>
        <w:b/>
        <w:color w:val="auto"/>
        <w:sz w:val="22"/>
      </w:rPr>
    </w:lvl>
    <w:lvl w:ilvl="1" w:tplc="2EC25788">
      <w:start w:val="6"/>
      <w:numFmt w:val="bullet"/>
      <w:lvlText w:val="-"/>
      <w:lvlJc w:val="left"/>
      <w:pPr>
        <w:ind w:left="1200" w:hanging="400"/>
      </w:pPr>
      <w:rPr>
        <w:rFonts w:ascii="Arial" w:eastAsia="SimSun" w:hAnsi="Arial" w:cs="Aria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2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15"/>
  </w:num>
  <w:num w:numId="7">
    <w:abstractNumId w:val="9"/>
    <w:lvlOverride w:ilvl="0">
      <w:startOverride w:val="1"/>
    </w:lvlOverride>
  </w:num>
  <w:num w:numId="8">
    <w:abstractNumId w:val="4"/>
  </w:num>
  <w:num w:numId="9">
    <w:abstractNumId w:val="18"/>
  </w:num>
  <w:num w:numId="10">
    <w:abstractNumId w:val="22"/>
  </w:num>
  <w:num w:numId="11">
    <w:abstractNumId w:val="5"/>
  </w:num>
  <w:num w:numId="12">
    <w:abstractNumId w:val="17"/>
  </w:num>
  <w:num w:numId="13">
    <w:abstractNumId w:val="19"/>
  </w:num>
  <w:num w:numId="14">
    <w:abstractNumId w:val="10"/>
    <w:lvlOverride w:ilvl="0"/>
    <w:lvlOverride w:ilvl="1">
      <w:startOverride w:val="1"/>
    </w:lvlOverride>
    <w:lvlOverride w:ilvl="2"/>
    <w:lvlOverride w:ilvl="3"/>
    <w:lvlOverride w:ilvl="4"/>
    <w:lvlOverride w:ilvl="5"/>
    <w:lvlOverride w:ilvl="6"/>
    <w:lvlOverride w:ilvl="7"/>
    <w:lvlOverride w:ilvl="8"/>
  </w:num>
  <w:num w:numId="15">
    <w:abstractNumId w:val="16"/>
  </w:num>
  <w:num w:numId="16">
    <w:abstractNumId w:val="7"/>
  </w:num>
  <w:num w:numId="17">
    <w:abstractNumId w:val="2"/>
  </w:num>
  <w:num w:numId="18">
    <w:abstractNumId w:val="13"/>
  </w:num>
  <w:num w:numId="19">
    <w:abstractNumId w:val="14"/>
  </w:num>
  <w:num w:numId="20">
    <w:abstractNumId w:val="8"/>
  </w:num>
  <w:num w:numId="21">
    <w:abstractNumId w:val="12"/>
  </w:num>
  <w:num w:numId="22">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D5B"/>
    <w:rsid w:val="00006E62"/>
    <w:rsid w:val="00007207"/>
    <w:rsid w:val="000072BD"/>
    <w:rsid w:val="00007500"/>
    <w:rsid w:val="00007605"/>
    <w:rsid w:val="000077B5"/>
    <w:rsid w:val="0000792C"/>
    <w:rsid w:val="00007CEF"/>
    <w:rsid w:val="0001004F"/>
    <w:rsid w:val="000101EF"/>
    <w:rsid w:val="00010AF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B9"/>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99F"/>
    <w:rsid w:val="00031ECE"/>
    <w:rsid w:val="00031EDD"/>
    <w:rsid w:val="00032043"/>
    <w:rsid w:val="000321DC"/>
    <w:rsid w:val="00032449"/>
    <w:rsid w:val="00032A64"/>
    <w:rsid w:val="000334D2"/>
    <w:rsid w:val="00033834"/>
    <w:rsid w:val="00033A55"/>
    <w:rsid w:val="00033AE8"/>
    <w:rsid w:val="00033E5C"/>
    <w:rsid w:val="00033EC5"/>
    <w:rsid w:val="000347CA"/>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3E50"/>
    <w:rsid w:val="0005456E"/>
    <w:rsid w:val="0005468A"/>
    <w:rsid w:val="00054ACE"/>
    <w:rsid w:val="00054DAB"/>
    <w:rsid w:val="00054EC3"/>
    <w:rsid w:val="0005502D"/>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599"/>
    <w:rsid w:val="00060873"/>
    <w:rsid w:val="00060FDB"/>
    <w:rsid w:val="000612C5"/>
    <w:rsid w:val="00061336"/>
    <w:rsid w:val="00061985"/>
    <w:rsid w:val="00061E26"/>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6DA1"/>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A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94C"/>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4E6"/>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4C"/>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1E36"/>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83C"/>
    <w:rsid w:val="000D59D6"/>
    <w:rsid w:val="000D5A91"/>
    <w:rsid w:val="000D5AB0"/>
    <w:rsid w:val="000D5AD1"/>
    <w:rsid w:val="000D5C0C"/>
    <w:rsid w:val="000D5E4D"/>
    <w:rsid w:val="000D5F11"/>
    <w:rsid w:val="000D697E"/>
    <w:rsid w:val="000D6B62"/>
    <w:rsid w:val="000D6E96"/>
    <w:rsid w:val="000D713B"/>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6EC9"/>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DAB"/>
    <w:rsid w:val="00115F76"/>
    <w:rsid w:val="0011677E"/>
    <w:rsid w:val="00116C09"/>
    <w:rsid w:val="00116EBA"/>
    <w:rsid w:val="00116F22"/>
    <w:rsid w:val="00117514"/>
    <w:rsid w:val="00117957"/>
    <w:rsid w:val="00117B90"/>
    <w:rsid w:val="0012022B"/>
    <w:rsid w:val="001202A3"/>
    <w:rsid w:val="001203DB"/>
    <w:rsid w:val="00120525"/>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8F6"/>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5B12"/>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723"/>
    <w:rsid w:val="00130953"/>
    <w:rsid w:val="00130EFD"/>
    <w:rsid w:val="00130F15"/>
    <w:rsid w:val="00131443"/>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5B1"/>
    <w:rsid w:val="00133751"/>
    <w:rsid w:val="00133CA0"/>
    <w:rsid w:val="00133EBD"/>
    <w:rsid w:val="001345D5"/>
    <w:rsid w:val="001348C5"/>
    <w:rsid w:val="00135015"/>
    <w:rsid w:val="00135095"/>
    <w:rsid w:val="001352A6"/>
    <w:rsid w:val="00135829"/>
    <w:rsid w:val="001358A7"/>
    <w:rsid w:val="001358F4"/>
    <w:rsid w:val="00135F7B"/>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5"/>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7BF"/>
    <w:rsid w:val="00155F7A"/>
    <w:rsid w:val="00156260"/>
    <w:rsid w:val="0015674F"/>
    <w:rsid w:val="00157966"/>
    <w:rsid w:val="0016019C"/>
    <w:rsid w:val="00160674"/>
    <w:rsid w:val="00160786"/>
    <w:rsid w:val="0016079B"/>
    <w:rsid w:val="001617E7"/>
    <w:rsid w:val="001617FB"/>
    <w:rsid w:val="001618A3"/>
    <w:rsid w:val="00161F89"/>
    <w:rsid w:val="0016207A"/>
    <w:rsid w:val="00162262"/>
    <w:rsid w:val="00162BD5"/>
    <w:rsid w:val="00162CF1"/>
    <w:rsid w:val="00162F82"/>
    <w:rsid w:val="001630E4"/>
    <w:rsid w:val="001639BC"/>
    <w:rsid w:val="001639E6"/>
    <w:rsid w:val="00163AFC"/>
    <w:rsid w:val="001643E2"/>
    <w:rsid w:val="00164452"/>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678DC"/>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2E"/>
    <w:rsid w:val="00186B4D"/>
    <w:rsid w:val="0018767B"/>
    <w:rsid w:val="00190307"/>
    <w:rsid w:val="00190731"/>
    <w:rsid w:val="00190927"/>
    <w:rsid w:val="00190BD5"/>
    <w:rsid w:val="001912D1"/>
    <w:rsid w:val="00191727"/>
    <w:rsid w:val="00191830"/>
    <w:rsid w:val="00191A2B"/>
    <w:rsid w:val="00191EBF"/>
    <w:rsid w:val="001925E5"/>
    <w:rsid w:val="00192C23"/>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9C"/>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D60"/>
    <w:rsid w:val="001C7F47"/>
    <w:rsid w:val="001D006C"/>
    <w:rsid w:val="001D0578"/>
    <w:rsid w:val="001D0593"/>
    <w:rsid w:val="001D1258"/>
    <w:rsid w:val="001D1265"/>
    <w:rsid w:val="001D13B0"/>
    <w:rsid w:val="001D15D4"/>
    <w:rsid w:val="001D19F8"/>
    <w:rsid w:val="001D1CFF"/>
    <w:rsid w:val="001D2B3C"/>
    <w:rsid w:val="001D2B9E"/>
    <w:rsid w:val="001D2BB2"/>
    <w:rsid w:val="001D2E5B"/>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03"/>
    <w:rsid w:val="001E251E"/>
    <w:rsid w:val="001E266E"/>
    <w:rsid w:val="001E2EEF"/>
    <w:rsid w:val="001E3188"/>
    <w:rsid w:val="001E31D1"/>
    <w:rsid w:val="001E32BE"/>
    <w:rsid w:val="001E36FC"/>
    <w:rsid w:val="001E3A45"/>
    <w:rsid w:val="001E3D0D"/>
    <w:rsid w:val="001E4082"/>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110"/>
    <w:rsid w:val="0020020C"/>
    <w:rsid w:val="00200A92"/>
    <w:rsid w:val="00200BF9"/>
    <w:rsid w:val="002018D7"/>
    <w:rsid w:val="00201C7E"/>
    <w:rsid w:val="00201D85"/>
    <w:rsid w:val="00201E31"/>
    <w:rsid w:val="00202201"/>
    <w:rsid w:val="002024D0"/>
    <w:rsid w:val="002029C7"/>
    <w:rsid w:val="00202B8E"/>
    <w:rsid w:val="00202D2E"/>
    <w:rsid w:val="00203159"/>
    <w:rsid w:val="0020359C"/>
    <w:rsid w:val="00203A6E"/>
    <w:rsid w:val="00203F00"/>
    <w:rsid w:val="00203F5C"/>
    <w:rsid w:val="002043A4"/>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1E8E"/>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816"/>
    <w:rsid w:val="00237A90"/>
    <w:rsid w:val="00237B76"/>
    <w:rsid w:val="00237C6F"/>
    <w:rsid w:val="00237D22"/>
    <w:rsid w:val="00240B75"/>
    <w:rsid w:val="00240B7D"/>
    <w:rsid w:val="00240F76"/>
    <w:rsid w:val="00240FA9"/>
    <w:rsid w:val="0024103F"/>
    <w:rsid w:val="002419AB"/>
    <w:rsid w:val="00241C7B"/>
    <w:rsid w:val="002421F2"/>
    <w:rsid w:val="0024224E"/>
    <w:rsid w:val="002427A8"/>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16F"/>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61B"/>
    <w:rsid w:val="00271736"/>
    <w:rsid w:val="00271738"/>
    <w:rsid w:val="0027193C"/>
    <w:rsid w:val="00271B1E"/>
    <w:rsid w:val="00271EEF"/>
    <w:rsid w:val="002720F3"/>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472"/>
    <w:rsid w:val="0028052D"/>
    <w:rsid w:val="00280684"/>
    <w:rsid w:val="0028073A"/>
    <w:rsid w:val="00280851"/>
    <w:rsid w:val="00280960"/>
    <w:rsid w:val="002813DE"/>
    <w:rsid w:val="002815F9"/>
    <w:rsid w:val="002817B4"/>
    <w:rsid w:val="00281847"/>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2D52"/>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193B"/>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5EA"/>
    <w:rsid w:val="002C26B0"/>
    <w:rsid w:val="002C27F3"/>
    <w:rsid w:val="002C29D0"/>
    <w:rsid w:val="002C2E8A"/>
    <w:rsid w:val="002C2FCD"/>
    <w:rsid w:val="002C36D3"/>
    <w:rsid w:val="002C3AE4"/>
    <w:rsid w:val="002C3B99"/>
    <w:rsid w:val="002C3C99"/>
    <w:rsid w:val="002C3E89"/>
    <w:rsid w:val="002C4110"/>
    <w:rsid w:val="002C44DB"/>
    <w:rsid w:val="002C453F"/>
    <w:rsid w:val="002C47BD"/>
    <w:rsid w:val="002C48CE"/>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060"/>
    <w:rsid w:val="002E679D"/>
    <w:rsid w:val="002E6994"/>
    <w:rsid w:val="002E7321"/>
    <w:rsid w:val="002E7894"/>
    <w:rsid w:val="002E7FA9"/>
    <w:rsid w:val="002F0045"/>
    <w:rsid w:val="002F00F0"/>
    <w:rsid w:val="002F025B"/>
    <w:rsid w:val="002F03ED"/>
    <w:rsid w:val="002F067E"/>
    <w:rsid w:val="002F0684"/>
    <w:rsid w:val="002F0A7C"/>
    <w:rsid w:val="002F0ADB"/>
    <w:rsid w:val="002F0CA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ED1"/>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3E1B"/>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A74"/>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700"/>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7B6"/>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76"/>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A0B"/>
    <w:rsid w:val="00373C10"/>
    <w:rsid w:val="00373E10"/>
    <w:rsid w:val="00373EFE"/>
    <w:rsid w:val="00373F2C"/>
    <w:rsid w:val="0037406C"/>
    <w:rsid w:val="003741D2"/>
    <w:rsid w:val="0037424D"/>
    <w:rsid w:val="003744CB"/>
    <w:rsid w:val="0037456D"/>
    <w:rsid w:val="00374802"/>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77D2B"/>
    <w:rsid w:val="003802B0"/>
    <w:rsid w:val="0038084F"/>
    <w:rsid w:val="00380892"/>
    <w:rsid w:val="00380AE2"/>
    <w:rsid w:val="00380C72"/>
    <w:rsid w:val="00381576"/>
    <w:rsid w:val="00381685"/>
    <w:rsid w:val="003821E7"/>
    <w:rsid w:val="0038232C"/>
    <w:rsid w:val="003824F4"/>
    <w:rsid w:val="00382901"/>
    <w:rsid w:val="00382903"/>
    <w:rsid w:val="00383246"/>
    <w:rsid w:val="00383388"/>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41E"/>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0DD"/>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24A"/>
    <w:rsid w:val="0039665F"/>
    <w:rsid w:val="00396850"/>
    <w:rsid w:val="00396BDA"/>
    <w:rsid w:val="00397424"/>
    <w:rsid w:val="003975E6"/>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1F99"/>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0C"/>
    <w:rsid w:val="003C1CFF"/>
    <w:rsid w:val="003C1EC9"/>
    <w:rsid w:val="003C226A"/>
    <w:rsid w:val="003C228C"/>
    <w:rsid w:val="003C270B"/>
    <w:rsid w:val="003C2A00"/>
    <w:rsid w:val="003C2C9D"/>
    <w:rsid w:val="003C2FFB"/>
    <w:rsid w:val="003C30C6"/>
    <w:rsid w:val="003C369D"/>
    <w:rsid w:val="003C3B73"/>
    <w:rsid w:val="003C4002"/>
    <w:rsid w:val="003C4250"/>
    <w:rsid w:val="003C4423"/>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82E"/>
    <w:rsid w:val="003D09DA"/>
    <w:rsid w:val="003D0A97"/>
    <w:rsid w:val="003D0B50"/>
    <w:rsid w:val="003D0CCB"/>
    <w:rsid w:val="003D0D75"/>
    <w:rsid w:val="003D0E68"/>
    <w:rsid w:val="003D2050"/>
    <w:rsid w:val="003D2339"/>
    <w:rsid w:val="003D26AA"/>
    <w:rsid w:val="003D2A2B"/>
    <w:rsid w:val="003D2C08"/>
    <w:rsid w:val="003D2D70"/>
    <w:rsid w:val="003D2F60"/>
    <w:rsid w:val="003D3201"/>
    <w:rsid w:val="003D34D8"/>
    <w:rsid w:val="003D3666"/>
    <w:rsid w:val="003D39A6"/>
    <w:rsid w:val="003D3BD7"/>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794"/>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241"/>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07"/>
    <w:rsid w:val="004024AB"/>
    <w:rsid w:val="00402F2C"/>
    <w:rsid w:val="0040303D"/>
    <w:rsid w:val="0040322B"/>
    <w:rsid w:val="004032B9"/>
    <w:rsid w:val="004033DA"/>
    <w:rsid w:val="0040379F"/>
    <w:rsid w:val="00403805"/>
    <w:rsid w:val="00403824"/>
    <w:rsid w:val="00403982"/>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D06"/>
    <w:rsid w:val="00454F01"/>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EE2"/>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0B0"/>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1D7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90"/>
    <w:rsid w:val="00486CF2"/>
    <w:rsid w:val="00486EC5"/>
    <w:rsid w:val="00487056"/>
    <w:rsid w:val="00487442"/>
    <w:rsid w:val="004877EB"/>
    <w:rsid w:val="00487BB8"/>
    <w:rsid w:val="00487E55"/>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5CE"/>
    <w:rsid w:val="0049681D"/>
    <w:rsid w:val="00496BEF"/>
    <w:rsid w:val="00497612"/>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8CA"/>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13D"/>
    <w:rsid w:val="004C5191"/>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7F3"/>
    <w:rsid w:val="004D2BFC"/>
    <w:rsid w:val="004D2E1A"/>
    <w:rsid w:val="004D2E57"/>
    <w:rsid w:val="004D3064"/>
    <w:rsid w:val="004D320D"/>
    <w:rsid w:val="004D3251"/>
    <w:rsid w:val="004D341C"/>
    <w:rsid w:val="004D342C"/>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25F"/>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1786A"/>
    <w:rsid w:val="0052001B"/>
    <w:rsid w:val="005205C8"/>
    <w:rsid w:val="005205D5"/>
    <w:rsid w:val="00521D65"/>
    <w:rsid w:val="005221A4"/>
    <w:rsid w:val="005227EA"/>
    <w:rsid w:val="00523366"/>
    <w:rsid w:val="00523E18"/>
    <w:rsid w:val="00523F32"/>
    <w:rsid w:val="0052408A"/>
    <w:rsid w:val="00524161"/>
    <w:rsid w:val="0052422C"/>
    <w:rsid w:val="005244D5"/>
    <w:rsid w:val="005245A9"/>
    <w:rsid w:val="005248C4"/>
    <w:rsid w:val="00524AD1"/>
    <w:rsid w:val="00524B43"/>
    <w:rsid w:val="00524D2A"/>
    <w:rsid w:val="00524E6A"/>
    <w:rsid w:val="005251DA"/>
    <w:rsid w:val="00525407"/>
    <w:rsid w:val="00525932"/>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61"/>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04"/>
    <w:rsid w:val="0056134D"/>
    <w:rsid w:val="005617E8"/>
    <w:rsid w:val="00561A95"/>
    <w:rsid w:val="00561BF6"/>
    <w:rsid w:val="00561E4A"/>
    <w:rsid w:val="00561F6A"/>
    <w:rsid w:val="005625FE"/>
    <w:rsid w:val="00562CDC"/>
    <w:rsid w:val="0056332A"/>
    <w:rsid w:val="005637E4"/>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592"/>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F19"/>
    <w:rsid w:val="00594131"/>
    <w:rsid w:val="005941B3"/>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A8D"/>
    <w:rsid w:val="005A1D03"/>
    <w:rsid w:val="005A2174"/>
    <w:rsid w:val="005A2229"/>
    <w:rsid w:val="005A256C"/>
    <w:rsid w:val="005A2BB3"/>
    <w:rsid w:val="005A320D"/>
    <w:rsid w:val="005A36E3"/>
    <w:rsid w:val="005A3A31"/>
    <w:rsid w:val="005A3AF1"/>
    <w:rsid w:val="005A3B1E"/>
    <w:rsid w:val="005A40D5"/>
    <w:rsid w:val="005A42B0"/>
    <w:rsid w:val="005A4324"/>
    <w:rsid w:val="005A438E"/>
    <w:rsid w:val="005A4999"/>
    <w:rsid w:val="005A4C36"/>
    <w:rsid w:val="005A4E38"/>
    <w:rsid w:val="005A50CE"/>
    <w:rsid w:val="005A55F9"/>
    <w:rsid w:val="005A588D"/>
    <w:rsid w:val="005A5965"/>
    <w:rsid w:val="005A59CF"/>
    <w:rsid w:val="005A674D"/>
    <w:rsid w:val="005A6A3A"/>
    <w:rsid w:val="005A6B80"/>
    <w:rsid w:val="005A6FA1"/>
    <w:rsid w:val="005A76BA"/>
    <w:rsid w:val="005A7F72"/>
    <w:rsid w:val="005B0604"/>
    <w:rsid w:val="005B1C68"/>
    <w:rsid w:val="005B1F54"/>
    <w:rsid w:val="005B2B0A"/>
    <w:rsid w:val="005B2B68"/>
    <w:rsid w:val="005B2D4D"/>
    <w:rsid w:val="005B2EB8"/>
    <w:rsid w:val="005B321E"/>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57F"/>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DB3"/>
    <w:rsid w:val="005D5E46"/>
    <w:rsid w:val="005D609E"/>
    <w:rsid w:val="005D610E"/>
    <w:rsid w:val="005D64A5"/>
    <w:rsid w:val="005D6929"/>
    <w:rsid w:val="005D6B30"/>
    <w:rsid w:val="005D6BA3"/>
    <w:rsid w:val="005D6E1C"/>
    <w:rsid w:val="005D73CA"/>
    <w:rsid w:val="005D7631"/>
    <w:rsid w:val="005D7741"/>
    <w:rsid w:val="005D7E04"/>
    <w:rsid w:val="005E0082"/>
    <w:rsid w:val="005E0128"/>
    <w:rsid w:val="005E02D6"/>
    <w:rsid w:val="005E11F9"/>
    <w:rsid w:val="005E1385"/>
    <w:rsid w:val="005E1393"/>
    <w:rsid w:val="005E15A4"/>
    <w:rsid w:val="005E1775"/>
    <w:rsid w:val="005E1A58"/>
    <w:rsid w:val="005E1C06"/>
    <w:rsid w:val="005E1D4D"/>
    <w:rsid w:val="005E1F3B"/>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A1C"/>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0D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CF1"/>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581"/>
    <w:rsid w:val="00643769"/>
    <w:rsid w:val="006437A9"/>
    <w:rsid w:val="00643973"/>
    <w:rsid w:val="00644200"/>
    <w:rsid w:val="0064428B"/>
    <w:rsid w:val="00644511"/>
    <w:rsid w:val="0064486C"/>
    <w:rsid w:val="00644E60"/>
    <w:rsid w:val="0064552C"/>
    <w:rsid w:val="00645728"/>
    <w:rsid w:val="006457B7"/>
    <w:rsid w:val="00645C7B"/>
    <w:rsid w:val="00646556"/>
    <w:rsid w:val="006473FF"/>
    <w:rsid w:val="00647CB3"/>
    <w:rsid w:val="00647D60"/>
    <w:rsid w:val="00650150"/>
    <w:rsid w:val="00650854"/>
    <w:rsid w:val="006508EE"/>
    <w:rsid w:val="00650CF1"/>
    <w:rsid w:val="00650D1E"/>
    <w:rsid w:val="00650E6C"/>
    <w:rsid w:val="00650EB8"/>
    <w:rsid w:val="00650F7C"/>
    <w:rsid w:val="00650FBE"/>
    <w:rsid w:val="006513D5"/>
    <w:rsid w:val="006518B1"/>
    <w:rsid w:val="00651AD0"/>
    <w:rsid w:val="00651AD3"/>
    <w:rsid w:val="00651FA0"/>
    <w:rsid w:val="006527A3"/>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20"/>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D8F"/>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DD2"/>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737"/>
    <w:rsid w:val="00682A4A"/>
    <w:rsid w:val="00682DA1"/>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2B2"/>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064"/>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5FC"/>
    <w:rsid w:val="006C1B3F"/>
    <w:rsid w:val="006C1D3E"/>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8A7"/>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5A"/>
    <w:rsid w:val="006D4F72"/>
    <w:rsid w:val="006D5067"/>
    <w:rsid w:val="006D5691"/>
    <w:rsid w:val="006D58A9"/>
    <w:rsid w:val="006D59BF"/>
    <w:rsid w:val="006D5AE7"/>
    <w:rsid w:val="006D5B2C"/>
    <w:rsid w:val="006D5EC2"/>
    <w:rsid w:val="006D5FEF"/>
    <w:rsid w:val="006D60D5"/>
    <w:rsid w:val="006D615D"/>
    <w:rsid w:val="006D6ADC"/>
    <w:rsid w:val="006D6D22"/>
    <w:rsid w:val="006D6E0D"/>
    <w:rsid w:val="006D6FD3"/>
    <w:rsid w:val="006D7598"/>
    <w:rsid w:val="006D7B93"/>
    <w:rsid w:val="006D7DAD"/>
    <w:rsid w:val="006E02A1"/>
    <w:rsid w:val="006E0AB3"/>
    <w:rsid w:val="006E0B16"/>
    <w:rsid w:val="006E0E60"/>
    <w:rsid w:val="006E0ED0"/>
    <w:rsid w:val="006E0FB7"/>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4C3"/>
    <w:rsid w:val="006F291E"/>
    <w:rsid w:val="006F2ADA"/>
    <w:rsid w:val="006F2E21"/>
    <w:rsid w:val="006F3052"/>
    <w:rsid w:val="006F314D"/>
    <w:rsid w:val="006F31A7"/>
    <w:rsid w:val="006F3738"/>
    <w:rsid w:val="006F3B01"/>
    <w:rsid w:val="006F3BDF"/>
    <w:rsid w:val="006F4072"/>
    <w:rsid w:val="006F407D"/>
    <w:rsid w:val="006F4145"/>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148"/>
    <w:rsid w:val="0071374D"/>
    <w:rsid w:val="00713B48"/>
    <w:rsid w:val="00713CA2"/>
    <w:rsid w:val="00713FFB"/>
    <w:rsid w:val="00714201"/>
    <w:rsid w:val="00714312"/>
    <w:rsid w:val="007143BE"/>
    <w:rsid w:val="00714722"/>
    <w:rsid w:val="00714A8C"/>
    <w:rsid w:val="00714D6A"/>
    <w:rsid w:val="00715A0C"/>
    <w:rsid w:val="00715F49"/>
    <w:rsid w:val="007161E7"/>
    <w:rsid w:val="007162F2"/>
    <w:rsid w:val="007163BF"/>
    <w:rsid w:val="0071649C"/>
    <w:rsid w:val="00716C3F"/>
    <w:rsid w:val="00716CD3"/>
    <w:rsid w:val="00716F80"/>
    <w:rsid w:val="00716FB1"/>
    <w:rsid w:val="00716FC0"/>
    <w:rsid w:val="00717267"/>
    <w:rsid w:val="007178EE"/>
    <w:rsid w:val="00717B0A"/>
    <w:rsid w:val="00720243"/>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0B"/>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733"/>
    <w:rsid w:val="00732E7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137"/>
    <w:rsid w:val="00740698"/>
    <w:rsid w:val="007406C0"/>
    <w:rsid w:val="007409E8"/>
    <w:rsid w:val="00740AC1"/>
    <w:rsid w:val="00740B3A"/>
    <w:rsid w:val="00740CD3"/>
    <w:rsid w:val="0074108B"/>
    <w:rsid w:val="0074175F"/>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CDD"/>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AEA"/>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D1"/>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C2E"/>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A31"/>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033"/>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5C1"/>
    <w:rsid w:val="007C460F"/>
    <w:rsid w:val="007C49C4"/>
    <w:rsid w:val="007C4CB7"/>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3B4"/>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3D"/>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61A"/>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69"/>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83"/>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4E1"/>
    <w:rsid w:val="008237B2"/>
    <w:rsid w:val="00823D4A"/>
    <w:rsid w:val="00823F61"/>
    <w:rsid w:val="0082449E"/>
    <w:rsid w:val="0082453A"/>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40D"/>
    <w:rsid w:val="0083056F"/>
    <w:rsid w:val="0083099E"/>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7EC"/>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5E3"/>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5F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6D1"/>
    <w:rsid w:val="008B68DD"/>
    <w:rsid w:val="008B6904"/>
    <w:rsid w:val="008B6E5C"/>
    <w:rsid w:val="008B7394"/>
    <w:rsid w:val="008B766A"/>
    <w:rsid w:val="008B7919"/>
    <w:rsid w:val="008B7A0E"/>
    <w:rsid w:val="008C04BA"/>
    <w:rsid w:val="008C0FB9"/>
    <w:rsid w:val="008C2426"/>
    <w:rsid w:val="008C2453"/>
    <w:rsid w:val="008C26B4"/>
    <w:rsid w:val="008C28BA"/>
    <w:rsid w:val="008C3240"/>
    <w:rsid w:val="008C3519"/>
    <w:rsid w:val="008C3796"/>
    <w:rsid w:val="008C380A"/>
    <w:rsid w:val="008C39F9"/>
    <w:rsid w:val="008C4188"/>
    <w:rsid w:val="008C450A"/>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6E3"/>
    <w:rsid w:val="008E6718"/>
    <w:rsid w:val="008E6788"/>
    <w:rsid w:val="008E7DB3"/>
    <w:rsid w:val="008F01AB"/>
    <w:rsid w:val="008F041F"/>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AC6"/>
    <w:rsid w:val="008F6CD0"/>
    <w:rsid w:val="008F6CD1"/>
    <w:rsid w:val="008F6F8A"/>
    <w:rsid w:val="008F71B5"/>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D35"/>
    <w:rsid w:val="00903F59"/>
    <w:rsid w:val="0090411E"/>
    <w:rsid w:val="009045C7"/>
    <w:rsid w:val="0090480E"/>
    <w:rsid w:val="00904A52"/>
    <w:rsid w:val="00904A62"/>
    <w:rsid w:val="00904B6D"/>
    <w:rsid w:val="00904E1D"/>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2CDF"/>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FE"/>
    <w:rsid w:val="009477BE"/>
    <w:rsid w:val="00947A78"/>
    <w:rsid w:val="009509D7"/>
    <w:rsid w:val="00950B09"/>
    <w:rsid w:val="00950DD1"/>
    <w:rsid w:val="009512EB"/>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145"/>
    <w:rsid w:val="009672BC"/>
    <w:rsid w:val="0096766C"/>
    <w:rsid w:val="00967851"/>
    <w:rsid w:val="00967B67"/>
    <w:rsid w:val="00967D2D"/>
    <w:rsid w:val="00967D7D"/>
    <w:rsid w:val="00970142"/>
    <w:rsid w:val="00970872"/>
    <w:rsid w:val="00970F7A"/>
    <w:rsid w:val="00970FE3"/>
    <w:rsid w:val="0097115F"/>
    <w:rsid w:val="00971190"/>
    <w:rsid w:val="009712FC"/>
    <w:rsid w:val="009718F0"/>
    <w:rsid w:val="00971EC5"/>
    <w:rsid w:val="00971F6B"/>
    <w:rsid w:val="00971FCC"/>
    <w:rsid w:val="0097298A"/>
    <w:rsid w:val="009729BB"/>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A86"/>
    <w:rsid w:val="009761A9"/>
    <w:rsid w:val="00976E81"/>
    <w:rsid w:val="00977311"/>
    <w:rsid w:val="009775C2"/>
    <w:rsid w:val="00977852"/>
    <w:rsid w:val="009778AB"/>
    <w:rsid w:val="00977B50"/>
    <w:rsid w:val="00980403"/>
    <w:rsid w:val="009804CB"/>
    <w:rsid w:val="009805FD"/>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421"/>
    <w:rsid w:val="00987455"/>
    <w:rsid w:val="009875FB"/>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3F5A"/>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53"/>
    <w:rsid w:val="0099731A"/>
    <w:rsid w:val="009979D6"/>
    <w:rsid w:val="00997CA3"/>
    <w:rsid w:val="00997DCB"/>
    <w:rsid w:val="00997F8A"/>
    <w:rsid w:val="009A0212"/>
    <w:rsid w:val="009A031F"/>
    <w:rsid w:val="009A041C"/>
    <w:rsid w:val="009A046E"/>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767"/>
    <w:rsid w:val="009A78D1"/>
    <w:rsid w:val="009A7A56"/>
    <w:rsid w:val="009B003C"/>
    <w:rsid w:val="009B0097"/>
    <w:rsid w:val="009B0D09"/>
    <w:rsid w:val="009B0D80"/>
    <w:rsid w:val="009B1758"/>
    <w:rsid w:val="009B1B81"/>
    <w:rsid w:val="009B1DFF"/>
    <w:rsid w:val="009B22E9"/>
    <w:rsid w:val="009B2353"/>
    <w:rsid w:val="009B2A4A"/>
    <w:rsid w:val="009B2B98"/>
    <w:rsid w:val="009B311C"/>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5E3"/>
    <w:rsid w:val="009B7BB7"/>
    <w:rsid w:val="009B7FFA"/>
    <w:rsid w:val="009C00EF"/>
    <w:rsid w:val="009C0210"/>
    <w:rsid w:val="009C0896"/>
    <w:rsid w:val="009C0898"/>
    <w:rsid w:val="009C0BC1"/>
    <w:rsid w:val="009C0DBE"/>
    <w:rsid w:val="009C0E79"/>
    <w:rsid w:val="009C10DF"/>
    <w:rsid w:val="009C113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DB7"/>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4FF7"/>
    <w:rsid w:val="009D5D05"/>
    <w:rsid w:val="009D60A4"/>
    <w:rsid w:val="009D610C"/>
    <w:rsid w:val="009D62E7"/>
    <w:rsid w:val="009D688C"/>
    <w:rsid w:val="009D69E5"/>
    <w:rsid w:val="009D6B8A"/>
    <w:rsid w:val="009D6F37"/>
    <w:rsid w:val="009D7470"/>
    <w:rsid w:val="009D75A4"/>
    <w:rsid w:val="009D7D48"/>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FB5"/>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8A7"/>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05D"/>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07B"/>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023"/>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EE8"/>
    <w:rsid w:val="00A65354"/>
    <w:rsid w:val="00A657CF"/>
    <w:rsid w:val="00A659FD"/>
    <w:rsid w:val="00A65FBF"/>
    <w:rsid w:val="00A66089"/>
    <w:rsid w:val="00A661C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CC0"/>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88A"/>
    <w:rsid w:val="00A9692B"/>
    <w:rsid w:val="00A96D7E"/>
    <w:rsid w:val="00A971EC"/>
    <w:rsid w:val="00A9727C"/>
    <w:rsid w:val="00A97666"/>
    <w:rsid w:val="00A97835"/>
    <w:rsid w:val="00A97B8C"/>
    <w:rsid w:val="00A97E7B"/>
    <w:rsid w:val="00AA0003"/>
    <w:rsid w:val="00AA0A0B"/>
    <w:rsid w:val="00AA0D6B"/>
    <w:rsid w:val="00AA0ECE"/>
    <w:rsid w:val="00AA11C7"/>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62E"/>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02C"/>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215"/>
    <w:rsid w:val="00AC5388"/>
    <w:rsid w:val="00AC5A3B"/>
    <w:rsid w:val="00AC61B3"/>
    <w:rsid w:val="00AC63F4"/>
    <w:rsid w:val="00AC6521"/>
    <w:rsid w:val="00AC6652"/>
    <w:rsid w:val="00AC690A"/>
    <w:rsid w:val="00AC6D0A"/>
    <w:rsid w:val="00AC6F1B"/>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2EE0"/>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A50"/>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6FF4"/>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B35"/>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6E8"/>
    <w:rsid w:val="00B167A6"/>
    <w:rsid w:val="00B16B5F"/>
    <w:rsid w:val="00B1736C"/>
    <w:rsid w:val="00B17435"/>
    <w:rsid w:val="00B17744"/>
    <w:rsid w:val="00B17F12"/>
    <w:rsid w:val="00B20057"/>
    <w:rsid w:val="00B20383"/>
    <w:rsid w:val="00B2043A"/>
    <w:rsid w:val="00B20E2B"/>
    <w:rsid w:val="00B21016"/>
    <w:rsid w:val="00B21130"/>
    <w:rsid w:val="00B215F9"/>
    <w:rsid w:val="00B217E4"/>
    <w:rsid w:val="00B21A49"/>
    <w:rsid w:val="00B21CA7"/>
    <w:rsid w:val="00B21D72"/>
    <w:rsid w:val="00B21D85"/>
    <w:rsid w:val="00B21DF9"/>
    <w:rsid w:val="00B2251A"/>
    <w:rsid w:val="00B233A9"/>
    <w:rsid w:val="00B239CC"/>
    <w:rsid w:val="00B23E08"/>
    <w:rsid w:val="00B2472E"/>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DF7"/>
    <w:rsid w:val="00B35E56"/>
    <w:rsid w:val="00B35F8E"/>
    <w:rsid w:val="00B36A46"/>
    <w:rsid w:val="00B37022"/>
    <w:rsid w:val="00B37121"/>
    <w:rsid w:val="00B372EA"/>
    <w:rsid w:val="00B4003E"/>
    <w:rsid w:val="00B40292"/>
    <w:rsid w:val="00B406B2"/>
    <w:rsid w:val="00B40D73"/>
    <w:rsid w:val="00B411A3"/>
    <w:rsid w:val="00B412CB"/>
    <w:rsid w:val="00B41349"/>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258"/>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4B5"/>
    <w:rsid w:val="00B71A24"/>
    <w:rsid w:val="00B71A5D"/>
    <w:rsid w:val="00B71E26"/>
    <w:rsid w:val="00B71E40"/>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12E"/>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B7E"/>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EC"/>
    <w:rsid w:val="00BA48E0"/>
    <w:rsid w:val="00BA4C24"/>
    <w:rsid w:val="00BA4E10"/>
    <w:rsid w:val="00BA4E68"/>
    <w:rsid w:val="00BA5346"/>
    <w:rsid w:val="00BA54FB"/>
    <w:rsid w:val="00BA57E9"/>
    <w:rsid w:val="00BA580D"/>
    <w:rsid w:val="00BA5880"/>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AEC"/>
    <w:rsid w:val="00BB3F4C"/>
    <w:rsid w:val="00BB3F8F"/>
    <w:rsid w:val="00BB3FE9"/>
    <w:rsid w:val="00BB424D"/>
    <w:rsid w:val="00BB4A42"/>
    <w:rsid w:val="00BB4D0D"/>
    <w:rsid w:val="00BB50E4"/>
    <w:rsid w:val="00BB5321"/>
    <w:rsid w:val="00BB56F2"/>
    <w:rsid w:val="00BB56F3"/>
    <w:rsid w:val="00BB5A70"/>
    <w:rsid w:val="00BB5C6E"/>
    <w:rsid w:val="00BB5DD1"/>
    <w:rsid w:val="00BB5F35"/>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4F57"/>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21D"/>
    <w:rsid w:val="00C0648A"/>
    <w:rsid w:val="00C06690"/>
    <w:rsid w:val="00C067A4"/>
    <w:rsid w:val="00C06BE9"/>
    <w:rsid w:val="00C06D45"/>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5E"/>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AD3"/>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14D"/>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15F7"/>
    <w:rsid w:val="00C7238B"/>
    <w:rsid w:val="00C723AF"/>
    <w:rsid w:val="00C723F3"/>
    <w:rsid w:val="00C72953"/>
    <w:rsid w:val="00C72EF5"/>
    <w:rsid w:val="00C72FD0"/>
    <w:rsid w:val="00C732C5"/>
    <w:rsid w:val="00C7357D"/>
    <w:rsid w:val="00C73F77"/>
    <w:rsid w:val="00C740FD"/>
    <w:rsid w:val="00C74157"/>
    <w:rsid w:val="00C7448E"/>
    <w:rsid w:val="00C748E2"/>
    <w:rsid w:val="00C74EB4"/>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101"/>
    <w:rsid w:val="00CA7202"/>
    <w:rsid w:val="00CA73B2"/>
    <w:rsid w:val="00CA74E8"/>
    <w:rsid w:val="00CA7680"/>
    <w:rsid w:val="00CB006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3F5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725"/>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940"/>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7FB"/>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58F"/>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6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7D"/>
    <w:rsid w:val="00D435FC"/>
    <w:rsid w:val="00D4360A"/>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97A"/>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0E9"/>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0E6"/>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14A"/>
    <w:rsid w:val="00DA71AF"/>
    <w:rsid w:val="00DA727D"/>
    <w:rsid w:val="00DA7A85"/>
    <w:rsid w:val="00DA7BC7"/>
    <w:rsid w:val="00DA7CB9"/>
    <w:rsid w:val="00DA7E4C"/>
    <w:rsid w:val="00DA7F1E"/>
    <w:rsid w:val="00DB0487"/>
    <w:rsid w:val="00DB0564"/>
    <w:rsid w:val="00DB0C81"/>
    <w:rsid w:val="00DB1539"/>
    <w:rsid w:val="00DB1901"/>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548"/>
    <w:rsid w:val="00DC4B72"/>
    <w:rsid w:val="00DC4D82"/>
    <w:rsid w:val="00DC4E9C"/>
    <w:rsid w:val="00DC522F"/>
    <w:rsid w:val="00DC588E"/>
    <w:rsid w:val="00DC5E1F"/>
    <w:rsid w:val="00DC65D8"/>
    <w:rsid w:val="00DC693B"/>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2D5"/>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4C8"/>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2DF5"/>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2C8"/>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D72"/>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1F02"/>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939"/>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8D7"/>
    <w:rsid w:val="00E64D5D"/>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4CD"/>
    <w:rsid w:val="00E85796"/>
    <w:rsid w:val="00E859CA"/>
    <w:rsid w:val="00E85DD1"/>
    <w:rsid w:val="00E86057"/>
    <w:rsid w:val="00E861F7"/>
    <w:rsid w:val="00E864B0"/>
    <w:rsid w:val="00E86647"/>
    <w:rsid w:val="00E86BA9"/>
    <w:rsid w:val="00E86DBF"/>
    <w:rsid w:val="00E86DEA"/>
    <w:rsid w:val="00E87343"/>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3D5"/>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F93"/>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5DA"/>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554"/>
    <w:rsid w:val="00EC4C3D"/>
    <w:rsid w:val="00EC4D77"/>
    <w:rsid w:val="00EC4D7B"/>
    <w:rsid w:val="00EC4E2E"/>
    <w:rsid w:val="00EC51DC"/>
    <w:rsid w:val="00EC555C"/>
    <w:rsid w:val="00EC5A0B"/>
    <w:rsid w:val="00EC5A47"/>
    <w:rsid w:val="00EC5F1A"/>
    <w:rsid w:val="00EC5FD9"/>
    <w:rsid w:val="00EC6337"/>
    <w:rsid w:val="00EC66D7"/>
    <w:rsid w:val="00EC6A92"/>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528"/>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9C9"/>
    <w:rsid w:val="00F05EED"/>
    <w:rsid w:val="00F06962"/>
    <w:rsid w:val="00F06C83"/>
    <w:rsid w:val="00F06D91"/>
    <w:rsid w:val="00F06F02"/>
    <w:rsid w:val="00F07524"/>
    <w:rsid w:val="00F103AB"/>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EE9"/>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C5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51F"/>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07FF"/>
    <w:rsid w:val="00F4125D"/>
    <w:rsid w:val="00F42599"/>
    <w:rsid w:val="00F42807"/>
    <w:rsid w:val="00F42910"/>
    <w:rsid w:val="00F42C2B"/>
    <w:rsid w:val="00F43068"/>
    <w:rsid w:val="00F439C5"/>
    <w:rsid w:val="00F44833"/>
    <w:rsid w:val="00F44D3A"/>
    <w:rsid w:val="00F452E7"/>
    <w:rsid w:val="00F465C1"/>
    <w:rsid w:val="00F4678D"/>
    <w:rsid w:val="00F467B0"/>
    <w:rsid w:val="00F468C9"/>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CB"/>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305"/>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681"/>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346"/>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7A4"/>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1CBA"/>
    <w:rsid w:val="00FB22E5"/>
    <w:rsid w:val="00FB2803"/>
    <w:rsid w:val="00FB2864"/>
    <w:rsid w:val="00FB2F94"/>
    <w:rsid w:val="00FB35AB"/>
    <w:rsid w:val="00FB38EA"/>
    <w:rsid w:val="00FB3CD6"/>
    <w:rsid w:val="00FB3D03"/>
    <w:rsid w:val="00FB4065"/>
    <w:rsid w:val="00FB43D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934"/>
    <w:rsid w:val="00FC3BBC"/>
    <w:rsid w:val="00FC3EEB"/>
    <w:rsid w:val="00FC4278"/>
    <w:rsid w:val="00FC4423"/>
    <w:rsid w:val="00FC47D1"/>
    <w:rsid w:val="00FC4850"/>
    <w:rsid w:val="00FC4993"/>
    <w:rsid w:val="00FC4CA4"/>
    <w:rsid w:val="00FC4DD6"/>
    <w:rsid w:val="00FC545C"/>
    <w:rsid w:val="00FC553E"/>
    <w:rsid w:val="00FC5AB2"/>
    <w:rsid w:val="00FC60EC"/>
    <w:rsid w:val="00FC65A0"/>
    <w:rsid w:val="00FC6B41"/>
    <w:rsid w:val="00FC6D4D"/>
    <w:rsid w:val="00FC6EF1"/>
    <w:rsid w:val="00FC7001"/>
    <w:rsid w:val="00FC7308"/>
    <w:rsid w:val="00FC752F"/>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6FBA"/>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3D8"/>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60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tion Equation"/>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tion Equation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143730">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419785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510942">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FFF1FA-2C43-47FD-8EB0-D64730051E3A}">
  <ds:schemaRefs>
    <ds:schemaRef ds:uri="http://schemas.openxmlformats.org/officeDocument/2006/bibliography"/>
  </ds:schemaRefs>
</ds:datastoreItem>
</file>

<file path=customXml/itemProps3.xml><?xml version="1.0" encoding="utf-8"?>
<ds:datastoreItem xmlns:ds="http://schemas.openxmlformats.org/officeDocument/2006/customXml" ds:itemID="{FB674DA5-FE85-4480-B736-5A6EF693F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8</Pages>
  <Words>3072</Words>
  <Characters>17513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20544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121</cp:revision>
  <cp:lastPrinted>2011-11-09T07:49:00Z</cp:lastPrinted>
  <dcterms:created xsi:type="dcterms:W3CDTF">2020-10-22T20:21:00Z</dcterms:created>
  <dcterms:modified xsi:type="dcterms:W3CDTF">2021-01-17T03:11:00Z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